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5E6299" w14:textId="7C3733F4" w:rsidR="00DF1703" w:rsidRPr="00B37436" w:rsidRDefault="00B37436" w:rsidP="00B37436">
      <w:pPr>
        <w:pStyle w:val="Header"/>
        <w:jc w:val="right"/>
        <w:rPr>
          <w:b/>
          <w:lang w:val="en-GB"/>
        </w:rPr>
      </w:pPr>
      <w:r w:rsidRPr="00B37436">
        <w:rPr>
          <w:b/>
          <w:lang w:val="en-GB"/>
        </w:rPr>
        <w:t>ANNEX I</w:t>
      </w:r>
    </w:p>
    <w:p w14:paraId="64363EBB" w14:textId="3910AE31" w:rsidR="00EB0B1F" w:rsidRDefault="00EB0B1F" w:rsidP="00FB0DA0">
      <w:pPr>
        <w:rPr>
          <w:rFonts w:ascii="Calibri" w:hAnsi="Calibri" w:cs="Calibri"/>
          <w:b/>
          <w:lang w:val="en-GB"/>
        </w:rPr>
      </w:pPr>
      <w:r w:rsidRPr="00EB0B1F">
        <w:rPr>
          <w:rFonts w:ascii="Calibri" w:hAnsi="Calibri" w:cs="Calibri"/>
          <w:b/>
          <w:noProof/>
          <w:lang w:val="en-GB"/>
        </w:rPr>
        <w:drawing>
          <wp:inline distT="0" distB="0" distL="0" distR="0" wp14:anchorId="3274B55C" wp14:editId="6A6213CA">
            <wp:extent cx="6120765" cy="8655050"/>
            <wp:effectExtent l="0" t="0" r="0" b="0"/>
            <wp:docPr id="765731721" name="Picture 4" descr="A close-up of a co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731721" name="Picture 4" descr="A close-up of a cove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765" cy="8655050"/>
                    </a:xfrm>
                    <a:prstGeom prst="rect">
                      <a:avLst/>
                    </a:prstGeom>
                    <a:noFill/>
                    <a:ln>
                      <a:noFill/>
                    </a:ln>
                  </pic:spPr>
                </pic:pic>
              </a:graphicData>
            </a:graphic>
          </wp:inline>
        </w:drawing>
      </w:r>
    </w:p>
    <w:bookmarkStart w:id="0" w:name="_Toc167079282" w:displacedByCustomXml="next"/>
    <w:sdt>
      <w:sdtPr>
        <w:rPr>
          <w:rFonts w:ascii="Calibri" w:eastAsia="Times New Roman" w:hAnsi="Calibri" w:cs="Calibri"/>
          <w:b w:val="0"/>
          <w:bCs w:val="0"/>
          <w:color w:val="auto"/>
          <w:sz w:val="24"/>
          <w:szCs w:val="24"/>
          <w:lang w:eastAsia="en-GB"/>
        </w:rPr>
        <w:id w:val="1902246008"/>
        <w:docPartObj>
          <w:docPartGallery w:val="Table of Contents"/>
          <w:docPartUnique/>
        </w:docPartObj>
      </w:sdtPr>
      <w:sdtEndPr>
        <w:rPr>
          <w:noProof/>
        </w:rPr>
      </w:sdtEndPr>
      <w:sdtContent>
        <w:p w14:paraId="16AD94BC" w14:textId="2713ABC3" w:rsidR="00B720D9" w:rsidRPr="00616282" w:rsidRDefault="00B720D9">
          <w:pPr>
            <w:pStyle w:val="TOCHeading"/>
            <w:rPr>
              <w:rFonts w:ascii="Calibri" w:hAnsi="Calibri" w:cs="Calibri"/>
            </w:rPr>
          </w:pPr>
          <w:r w:rsidRPr="003C4F95">
            <w:rPr>
              <w:rFonts w:ascii="Calibri" w:hAnsi="Calibri" w:cs="Calibri"/>
            </w:rPr>
            <w:t>Table of Contents</w:t>
          </w:r>
        </w:p>
        <w:p w14:paraId="7FA746B2" w14:textId="10B3A514" w:rsidR="002D5971" w:rsidRDefault="00B720D9">
          <w:pPr>
            <w:pStyle w:val="TOC1"/>
            <w:tabs>
              <w:tab w:val="right" w:leader="dot" w:pos="9204"/>
            </w:tabs>
            <w:rPr>
              <w:rFonts w:eastAsiaTheme="minorEastAsia" w:cstheme="minorBidi"/>
              <w:b w:val="0"/>
              <w:bCs w:val="0"/>
              <w:i w:val="0"/>
              <w:iCs w:val="0"/>
              <w:noProof/>
              <w:kern w:val="2"/>
              <w14:ligatures w14:val="standardContextual"/>
            </w:rPr>
          </w:pPr>
          <w:r w:rsidRPr="00647D87">
            <w:rPr>
              <w:rFonts w:ascii="Calibri" w:hAnsi="Calibri" w:cs="Calibri"/>
              <w:b w:val="0"/>
              <w:bCs w:val="0"/>
              <w:i w:val="0"/>
              <w:iCs w:val="0"/>
            </w:rPr>
            <w:fldChar w:fldCharType="begin"/>
          </w:r>
          <w:r w:rsidRPr="00647D87">
            <w:rPr>
              <w:rFonts w:ascii="Calibri" w:hAnsi="Calibri" w:cs="Calibri"/>
              <w:i w:val="0"/>
              <w:iCs w:val="0"/>
            </w:rPr>
            <w:instrText xml:space="preserve"> TOC \o "1-3" \h \z \u </w:instrText>
          </w:r>
          <w:r w:rsidRPr="00647D87">
            <w:rPr>
              <w:rFonts w:ascii="Calibri" w:hAnsi="Calibri" w:cs="Calibri"/>
              <w:b w:val="0"/>
              <w:bCs w:val="0"/>
              <w:i w:val="0"/>
              <w:iCs w:val="0"/>
            </w:rPr>
            <w:fldChar w:fldCharType="separate"/>
          </w:r>
          <w:hyperlink w:anchor="_Toc171908176" w:history="1">
            <w:r w:rsidR="002D5971" w:rsidRPr="00A77E30">
              <w:rPr>
                <w:rStyle w:val="Hyperlink"/>
                <w:rFonts w:ascii="Calibri" w:hAnsi="Calibri" w:cs="Calibri"/>
                <w:noProof/>
                <w:lang w:val="en-GB"/>
              </w:rPr>
              <w:t>List of abbreviations</w:t>
            </w:r>
            <w:r w:rsidR="002D5971">
              <w:rPr>
                <w:noProof/>
                <w:webHidden/>
              </w:rPr>
              <w:tab/>
            </w:r>
            <w:r w:rsidR="002D5971">
              <w:rPr>
                <w:noProof/>
                <w:webHidden/>
              </w:rPr>
              <w:fldChar w:fldCharType="begin"/>
            </w:r>
            <w:r w:rsidR="002D5971">
              <w:rPr>
                <w:noProof/>
                <w:webHidden/>
              </w:rPr>
              <w:instrText xml:space="preserve"> PAGEREF _Toc171908176 \h </w:instrText>
            </w:r>
            <w:r w:rsidR="002D5971">
              <w:rPr>
                <w:noProof/>
                <w:webHidden/>
              </w:rPr>
            </w:r>
            <w:r w:rsidR="002D5971">
              <w:rPr>
                <w:noProof/>
                <w:webHidden/>
              </w:rPr>
              <w:fldChar w:fldCharType="separate"/>
            </w:r>
            <w:r w:rsidR="0096670A">
              <w:rPr>
                <w:noProof/>
                <w:webHidden/>
              </w:rPr>
              <w:t>4</w:t>
            </w:r>
            <w:r w:rsidR="002D5971">
              <w:rPr>
                <w:noProof/>
                <w:webHidden/>
              </w:rPr>
              <w:fldChar w:fldCharType="end"/>
            </w:r>
          </w:hyperlink>
        </w:p>
        <w:p w14:paraId="4F500AE8" w14:textId="080DAD1F"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7" w:history="1">
            <w:r w:rsidR="002D5971" w:rsidRPr="00A77E30">
              <w:rPr>
                <w:rStyle w:val="Hyperlink"/>
                <w:rFonts w:ascii="Calibri" w:hAnsi="Calibri" w:cs="Calibri"/>
                <w:noProof/>
              </w:rPr>
              <w:t>1.</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Foreword</w:t>
            </w:r>
            <w:r w:rsidR="002D5971">
              <w:rPr>
                <w:noProof/>
                <w:webHidden/>
              </w:rPr>
              <w:tab/>
            </w:r>
            <w:r w:rsidR="002D5971">
              <w:rPr>
                <w:noProof/>
                <w:webHidden/>
              </w:rPr>
              <w:fldChar w:fldCharType="begin"/>
            </w:r>
            <w:r w:rsidR="002D5971">
              <w:rPr>
                <w:noProof/>
                <w:webHidden/>
              </w:rPr>
              <w:instrText xml:space="preserve"> PAGEREF _Toc171908177 \h </w:instrText>
            </w:r>
            <w:r w:rsidR="002D5971">
              <w:rPr>
                <w:noProof/>
                <w:webHidden/>
              </w:rPr>
            </w:r>
            <w:r w:rsidR="002D5971">
              <w:rPr>
                <w:noProof/>
                <w:webHidden/>
              </w:rPr>
              <w:fldChar w:fldCharType="separate"/>
            </w:r>
            <w:r w:rsidR="0096670A">
              <w:rPr>
                <w:noProof/>
                <w:webHidden/>
              </w:rPr>
              <w:t>5</w:t>
            </w:r>
            <w:r w:rsidR="002D5971">
              <w:rPr>
                <w:noProof/>
                <w:webHidden/>
              </w:rPr>
              <w:fldChar w:fldCharType="end"/>
            </w:r>
          </w:hyperlink>
        </w:p>
        <w:p w14:paraId="4CBF43DE" w14:textId="03EA5B18"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8" w:history="1">
            <w:r w:rsidR="002D5971" w:rsidRPr="00A77E30">
              <w:rPr>
                <w:rStyle w:val="Hyperlink"/>
                <w:rFonts w:ascii="Calibri" w:hAnsi="Calibri" w:cs="Calibri"/>
                <w:noProof/>
              </w:rPr>
              <w:t>2.</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Acknowledgements</w:t>
            </w:r>
            <w:r w:rsidR="002D5971">
              <w:rPr>
                <w:noProof/>
                <w:webHidden/>
              </w:rPr>
              <w:tab/>
            </w:r>
            <w:r w:rsidR="002D5971">
              <w:rPr>
                <w:noProof/>
                <w:webHidden/>
              </w:rPr>
              <w:fldChar w:fldCharType="begin"/>
            </w:r>
            <w:r w:rsidR="002D5971">
              <w:rPr>
                <w:noProof/>
                <w:webHidden/>
              </w:rPr>
              <w:instrText xml:space="preserve"> PAGEREF _Toc171908178 \h </w:instrText>
            </w:r>
            <w:r w:rsidR="002D5971">
              <w:rPr>
                <w:noProof/>
                <w:webHidden/>
              </w:rPr>
            </w:r>
            <w:r w:rsidR="002D5971">
              <w:rPr>
                <w:noProof/>
                <w:webHidden/>
              </w:rPr>
              <w:fldChar w:fldCharType="separate"/>
            </w:r>
            <w:r w:rsidR="0096670A">
              <w:rPr>
                <w:noProof/>
                <w:webHidden/>
              </w:rPr>
              <w:t>7</w:t>
            </w:r>
            <w:r w:rsidR="002D5971">
              <w:rPr>
                <w:noProof/>
                <w:webHidden/>
              </w:rPr>
              <w:fldChar w:fldCharType="end"/>
            </w:r>
          </w:hyperlink>
        </w:p>
        <w:p w14:paraId="609B7077" w14:textId="55A9BF2B"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9" w:history="1">
            <w:r w:rsidR="002D5971" w:rsidRPr="00A77E30">
              <w:rPr>
                <w:rStyle w:val="Hyperlink"/>
                <w:rFonts w:ascii="Calibri" w:hAnsi="Calibri" w:cs="Calibri"/>
                <w:noProof/>
              </w:rPr>
              <w:t>3.</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Background, Purpose, and Principles</w:t>
            </w:r>
            <w:r w:rsidR="002D5971">
              <w:rPr>
                <w:noProof/>
                <w:webHidden/>
              </w:rPr>
              <w:tab/>
            </w:r>
            <w:r w:rsidR="002D5971">
              <w:rPr>
                <w:noProof/>
                <w:webHidden/>
              </w:rPr>
              <w:fldChar w:fldCharType="begin"/>
            </w:r>
            <w:r w:rsidR="002D5971">
              <w:rPr>
                <w:noProof/>
                <w:webHidden/>
              </w:rPr>
              <w:instrText xml:space="preserve"> PAGEREF _Toc171908179 \h </w:instrText>
            </w:r>
            <w:r w:rsidR="002D5971">
              <w:rPr>
                <w:noProof/>
                <w:webHidden/>
              </w:rPr>
            </w:r>
            <w:r w:rsidR="002D5971">
              <w:rPr>
                <w:noProof/>
                <w:webHidden/>
              </w:rPr>
              <w:fldChar w:fldCharType="separate"/>
            </w:r>
            <w:r w:rsidR="0096670A">
              <w:rPr>
                <w:noProof/>
                <w:webHidden/>
              </w:rPr>
              <w:t>8</w:t>
            </w:r>
            <w:r w:rsidR="002D5971">
              <w:rPr>
                <w:noProof/>
                <w:webHidden/>
              </w:rPr>
              <w:fldChar w:fldCharType="end"/>
            </w:r>
          </w:hyperlink>
        </w:p>
        <w:p w14:paraId="463676BF" w14:textId="62A6C0E2"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0" w:history="1">
            <w:r w:rsidR="002D5971" w:rsidRPr="00A77E30">
              <w:rPr>
                <w:rStyle w:val="Hyperlink"/>
                <w:rFonts w:ascii="Calibri" w:hAnsi="Calibri" w:cs="Calibri"/>
                <w:noProof/>
              </w:rPr>
              <w:t>4.</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 xml:space="preserve">Exposure to </w:t>
            </w:r>
            <w:r w:rsidR="0008057D">
              <w:rPr>
                <w:rStyle w:val="Hyperlink"/>
                <w:rFonts w:ascii="Calibri" w:hAnsi="Calibri" w:cs="Calibri"/>
                <w:noProof/>
              </w:rPr>
              <w:t>climate-related</w:t>
            </w:r>
            <w:r w:rsidR="002D5971" w:rsidRPr="00A77E30">
              <w:rPr>
                <w:rStyle w:val="Hyperlink"/>
                <w:rFonts w:ascii="Calibri" w:hAnsi="Calibri" w:cs="Calibri"/>
                <w:noProof/>
              </w:rPr>
              <w:t xml:space="preserve"> financial risks</w:t>
            </w:r>
            <w:r w:rsidR="002D5971">
              <w:rPr>
                <w:noProof/>
                <w:webHidden/>
              </w:rPr>
              <w:tab/>
            </w:r>
            <w:r w:rsidR="002D5971">
              <w:rPr>
                <w:noProof/>
                <w:webHidden/>
              </w:rPr>
              <w:fldChar w:fldCharType="begin"/>
            </w:r>
            <w:r w:rsidR="002D5971">
              <w:rPr>
                <w:noProof/>
                <w:webHidden/>
              </w:rPr>
              <w:instrText xml:space="preserve"> PAGEREF _Toc171908180 \h </w:instrText>
            </w:r>
            <w:r w:rsidR="002D5971">
              <w:rPr>
                <w:noProof/>
                <w:webHidden/>
              </w:rPr>
            </w:r>
            <w:r w:rsidR="002D5971">
              <w:rPr>
                <w:noProof/>
                <w:webHidden/>
              </w:rPr>
              <w:fldChar w:fldCharType="separate"/>
            </w:r>
            <w:r w:rsidR="0096670A">
              <w:rPr>
                <w:noProof/>
                <w:webHidden/>
              </w:rPr>
              <w:t>10</w:t>
            </w:r>
            <w:r w:rsidR="002D5971">
              <w:rPr>
                <w:noProof/>
                <w:webHidden/>
              </w:rPr>
              <w:fldChar w:fldCharType="end"/>
            </w:r>
          </w:hyperlink>
        </w:p>
        <w:p w14:paraId="32765E58" w14:textId="3E5E836D" w:rsidR="002D5971" w:rsidRDefault="00000000">
          <w:pPr>
            <w:pStyle w:val="TOC2"/>
            <w:tabs>
              <w:tab w:val="right" w:leader="dot" w:pos="9204"/>
            </w:tabs>
            <w:rPr>
              <w:rFonts w:eastAsiaTheme="minorEastAsia" w:cstheme="minorBidi"/>
              <w:b w:val="0"/>
              <w:bCs w:val="0"/>
              <w:noProof/>
              <w:kern w:val="2"/>
              <w:sz w:val="24"/>
              <w:szCs w:val="24"/>
              <w14:ligatures w14:val="standardContextual"/>
            </w:rPr>
          </w:pPr>
          <w:hyperlink w:anchor="_Toc171908181" w:history="1">
            <w:r w:rsidR="002D5971" w:rsidRPr="00A77E30">
              <w:rPr>
                <w:rStyle w:val="Hyperlink"/>
                <w:rFonts w:ascii="Calibri" w:hAnsi="Calibri" w:cs="Calibri"/>
                <w:noProof/>
                <w:lang w:val="en-GB"/>
              </w:rPr>
              <w:t>Physical Risk Exposures</w:t>
            </w:r>
            <w:r w:rsidR="002D5971">
              <w:rPr>
                <w:noProof/>
                <w:webHidden/>
              </w:rPr>
              <w:tab/>
            </w:r>
            <w:r w:rsidR="002D5971">
              <w:rPr>
                <w:noProof/>
                <w:webHidden/>
              </w:rPr>
              <w:fldChar w:fldCharType="begin"/>
            </w:r>
            <w:r w:rsidR="002D5971">
              <w:rPr>
                <w:noProof/>
                <w:webHidden/>
              </w:rPr>
              <w:instrText xml:space="preserve"> PAGEREF _Toc171908181 \h </w:instrText>
            </w:r>
            <w:r w:rsidR="002D5971">
              <w:rPr>
                <w:noProof/>
                <w:webHidden/>
              </w:rPr>
            </w:r>
            <w:r w:rsidR="002D5971">
              <w:rPr>
                <w:noProof/>
                <w:webHidden/>
              </w:rPr>
              <w:fldChar w:fldCharType="separate"/>
            </w:r>
            <w:r w:rsidR="0096670A">
              <w:rPr>
                <w:noProof/>
                <w:webHidden/>
              </w:rPr>
              <w:t>11</w:t>
            </w:r>
            <w:r w:rsidR="002D5971">
              <w:rPr>
                <w:noProof/>
                <w:webHidden/>
              </w:rPr>
              <w:fldChar w:fldCharType="end"/>
            </w:r>
          </w:hyperlink>
        </w:p>
        <w:p w14:paraId="020E3176" w14:textId="443ED823" w:rsidR="002D5971" w:rsidRDefault="00000000">
          <w:pPr>
            <w:pStyle w:val="TOC2"/>
            <w:tabs>
              <w:tab w:val="right" w:leader="dot" w:pos="9204"/>
            </w:tabs>
            <w:rPr>
              <w:rFonts w:eastAsiaTheme="minorEastAsia" w:cstheme="minorBidi"/>
              <w:b w:val="0"/>
              <w:bCs w:val="0"/>
              <w:noProof/>
              <w:kern w:val="2"/>
              <w:sz w:val="24"/>
              <w:szCs w:val="24"/>
              <w14:ligatures w14:val="standardContextual"/>
            </w:rPr>
          </w:pPr>
          <w:hyperlink w:anchor="_Toc171908182" w:history="1">
            <w:r w:rsidR="002D5971" w:rsidRPr="00A77E30">
              <w:rPr>
                <w:rStyle w:val="Hyperlink"/>
                <w:rFonts w:ascii="Calibri" w:hAnsi="Calibri" w:cs="Calibri"/>
                <w:noProof/>
                <w:lang w:val="en-GB"/>
              </w:rPr>
              <w:t>Transition Risk Exposures</w:t>
            </w:r>
            <w:r w:rsidR="002D5971">
              <w:rPr>
                <w:noProof/>
                <w:webHidden/>
              </w:rPr>
              <w:tab/>
            </w:r>
            <w:r w:rsidR="002D5971">
              <w:rPr>
                <w:noProof/>
                <w:webHidden/>
              </w:rPr>
              <w:fldChar w:fldCharType="begin"/>
            </w:r>
            <w:r w:rsidR="002D5971">
              <w:rPr>
                <w:noProof/>
                <w:webHidden/>
              </w:rPr>
              <w:instrText xml:space="preserve"> PAGEREF _Toc171908182 \h </w:instrText>
            </w:r>
            <w:r w:rsidR="002D5971">
              <w:rPr>
                <w:noProof/>
                <w:webHidden/>
              </w:rPr>
            </w:r>
            <w:r w:rsidR="002D5971">
              <w:rPr>
                <w:noProof/>
                <w:webHidden/>
              </w:rPr>
              <w:fldChar w:fldCharType="separate"/>
            </w:r>
            <w:r w:rsidR="0096670A">
              <w:rPr>
                <w:noProof/>
                <w:webHidden/>
              </w:rPr>
              <w:t>13</w:t>
            </w:r>
            <w:r w:rsidR="002D5971">
              <w:rPr>
                <w:noProof/>
                <w:webHidden/>
              </w:rPr>
              <w:fldChar w:fldCharType="end"/>
            </w:r>
          </w:hyperlink>
        </w:p>
        <w:p w14:paraId="758C2706" w14:textId="439E630D"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3" w:history="1">
            <w:r w:rsidR="002D5971" w:rsidRPr="00A77E30">
              <w:rPr>
                <w:rStyle w:val="Hyperlink"/>
                <w:rFonts w:ascii="Calibri" w:hAnsi="Calibri" w:cs="Calibri"/>
                <w:noProof/>
              </w:rPr>
              <w:t>5.</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Governance</w:t>
            </w:r>
            <w:r w:rsidR="002D5971">
              <w:rPr>
                <w:noProof/>
                <w:webHidden/>
              </w:rPr>
              <w:tab/>
            </w:r>
            <w:r w:rsidR="002D5971">
              <w:rPr>
                <w:noProof/>
                <w:webHidden/>
              </w:rPr>
              <w:fldChar w:fldCharType="begin"/>
            </w:r>
            <w:r w:rsidR="002D5971">
              <w:rPr>
                <w:noProof/>
                <w:webHidden/>
              </w:rPr>
              <w:instrText xml:space="preserve"> PAGEREF _Toc171908183 \h </w:instrText>
            </w:r>
            <w:r w:rsidR="002D5971">
              <w:rPr>
                <w:noProof/>
                <w:webHidden/>
              </w:rPr>
            </w:r>
            <w:r w:rsidR="002D5971">
              <w:rPr>
                <w:noProof/>
                <w:webHidden/>
              </w:rPr>
              <w:fldChar w:fldCharType="separate"/>
            </w:r>
            <w:r w:rsidR="0096670A">
              <w:rPr>
                <w:noProof/>
                <w:webHidden/>
              </w:rPr>
              <w:t>15</w:t>
            </w:r>
            <w:r w:rsidR="002D5971">
              <w:rPr>
                <w:noProof/>
                <w:webHidden/>
              </w:rPr>
              <w:fldChar w:fldCharType="end"/>
            </w:r>
          </w:hyperlink>
        </w:p>
        <w:p w14:paraId="1CC20300" w14:textId="0446081C" w:rsidR="002D5971" w:rsidRDefault="00000000">
          <w:pPr>
            <w:pStyle w:val="TOC3"/>
            <w:tabs>
              <w:tab w:val="right" w:leader="dot" w:pos="9204"/>
            </w:tabs>
            <w:rPr>
              <w:rFonts w:eastAsiaTheme="minorEastAsia" w:cstheme="minorBidi"/>
              <w:noProof/>
              <w:kern w:val="2"/>
              <w:sz w:val="24"/>
              <w:szCs w:val="24"/>
              <w14:ligatures w14:val="standardContextual"/>
            </w:rPr>
          </w:pPr>
          <w:hyperlink w:anchor="_Toc171908184" w:history="1">
            <w:r w:rsidR="002D5971" w:rsidRPr="00A77E30">
              <w:rPr>
                <w:rStyle w:val="Hyperlink"/>
                <w:rFonts w:ascii="Calibri" w:hAnsi="Calibri" w:cs="Calibri"/>
                <w:noProof/>
              </w:rPr>
              <w:t>Best practice on governance</w:t>
            </w:r>
            <w:r w:rsidR="002D5971">
              <w:rPr>
                <w:noProof/>
                <w:webHidden/>
              </w:rPr>
              <w:tab/>
            </w:r>
            <w:r w:rsidR="002D5971">
              <w:rPr>
                <w:noProof/>
                <w:webHidden/>
              </w:rPr>
              <w:fldChar w:fldCharType="begin"/>
            </w:r>
            <w:r w:rsidR="002D5971">
              <w:rPr>
                <w:noProof/>
                <w:webHidden/>
              </w:rPr>
              <w:instrText xml:space="preserve"> PAGEREF _Toc171908184 \h </w:instrText>
            </w:r>
            <w:r w:rsidR="002D5971">
              <w:rPr>
                <w:noProof/>
                <w:webHidden/>
              </w:rPr>
            </w:r>
            <w:r w:rsidR="002D5971">
              <w:rPr>
                <w:noProof/>
                <w:webHidden/>
              </w:rPr>
              <w:fldChar w:fldCharType="separate"/>
            </w:r>
            <w:r w:rsidR="0096670A">
              <w:rPr>
                <w:noProof/>
                <w:webHidden/>
              </w:rPr>
              <w:t>16</w:t>
            </w:r>
            <w:r w:rsidR="002D5971">
              <w:rPr>
                <w:noProof/>
                <w:webHidden/>
              </w:rPr>
              <w:fldChar w:fldCharType="end"/>
            </w:r>
          </w:hyperlink>
        </w:p>
        <w:p w14:paraId="59F9DE1B" w14:textId="7A789BF9"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5" w:history="1">
            <w:r w:rsidR="002D5971" w:rsidRPr="00A77E30">
              <w:rPr>
                <w:rStyle w:val="Hyperlink"/>
                <w:rFonts w:ascii="Calibri" w:hAnsi="Calibri" w:cs="Calibri"/>
                <w:noProof/>
              </w:rPr>
              <w:t>6.</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Strategy for managing climate-related risks and opportunities</w:t>
            </w:r>
            <w:r w:rsidR="002D5971">
              <w:rPr>
                <w:noProof/>
                <w:webHidden/>
              </w:rPr>
              <w:tab/>
            </w:r>
            <w:r w:rsidR="002D5971">
              <w:rPr>
                <w:noProof/>
                <w:webHidden/>
              </w:rPr>
              <w:fldChar w:fldCharType="begin"/>
            </w:r>
            <w:r w:rsidR="002D5971">
              <w:rPr>
                <w:noProof/>
                <w:webHidden/>
              </w:rPr>
              <w:instrText xml:space="preserve"> PAGEREF _Toc171908185 \h </w:instrText>
            </w:r>
            <w:r w:rsidR="002D5971">
              <w:rPr>
                <w:noProof/>
                <w:webHidden/>
              </w:rPr>
            </w:r>
            <w:r w:rsidR="002D5971">
              <w:rPr>
                <w:noProof/>
                <w:webHidden/>
              </w:rPr>
              <w:fldChar w:fldCharType="separate"/>
            </w:r>
            <w:r w:rsidR="0096670A">
              <w:rPr>
                <w:noProof/>
                <w:webHidden/>
              </w:rPr>
              <w:t>18</w:t>
            </w:r>
            <w:r w:rsidR="002D5971">
              <w:rPr>
                <w:noProof/>
                <w:webHidden/>
              </w:rPr>
              <w:fldChar w:fldCharType="end"/>
            </w:r>
          </w:hyperlink>
        </w:p>
        <w:p w14:paraId="61CA9A1B" w14:textId="49B64770" w:rsidR="002D5971" w:rsidRDefault="00000000">
          <w:pPr>
            <w:pStyle w:val="TOC3"/>
            <w:tabs>
              <w:tab w:val="right" w:leader="dot" w:pos="9204"/>
            </w:tabs>
            <w:rPr>
              <w:rFonts w:eastAsiaTheme="minorEastAsia" w:cstheme="minorBidi"/>
              <w:noProof/>
              <w:kern w:val="2"/>
              <w:sz w:val="24"/>
              <w:szCs w:val="24"/>
              <w14:ligatures w14:val="standardContextual"/>
            </w:rPr>
          </w:pPr>
          <w:hyperlink w:anchor="_Toc171908186" w:history="1">
            <w:r w:rsidR="002D5971" w:rsidRPr="00A77E30">
              <w:rPr>
                <w:rStyle w:val="Hyperlink"/>
                <w:rFonts w:ascii="Calibri" w:hAnsi="Calibri" w:cs="Calibri"/>
                <w:noProof/>
                <w:lang w:val="en-GB"/>
              </w:rPr>
              <w:t>Best practice on strategy</w:t>
            </w:r>
            <w:r w:rsidR="002D5971">
              <w:rPr>
                <w:noProof/>
                <w:webHidden/>
              </w:rPr>
              <w:tab/>
            </w:r>
            <w:r w:rsidR="002D5971">
              <w:rPr>
                <w:noProof/>
                <w:webHidden/>
              </w:rPr>
              <w:fldChar w:fldCharType="begin"/>
            </w:r>
            <w:r w:rsidR="002D5971">
              <w:rPr>
                <w:noProof/>
                <w:webHidden/>
              </w:rPr>
              <w:instrText xml:space="preserve"> PAGEREF _Toc171908186 \h </w:instrText>
            </w:r>
            <w:r w:rsidR="002D5971">
              <w:rPr>
                <w:noProof/>
                <w:webHidden/>
              </w:rPr>
            </w:r>
            <w:r w:rsidR="002D5971">
              <w:rPr>
                <w:noProof/>
                <w:webHidden/>
              </w:rPr>
              <w:fldChar w:fldCharType="separate"/>
            </w:r>
            <w:r w:rsidR="0096670A">
              <w:rPr>
                <w:noProof/>
                <w:webHidden/>
              </w:rPr>
              <w:t>21</w:t>
            </w:r>
            <w:r w:rsidR="002D5971">
              <w:rPr>
                <w:noProof/>
                <w:webHidden/>
              </w:rPr>
              <w:fldChar w:fldCharType="end"/>
            </w:r>
          </w:hyperlink>
        </w:p>
        <w:p w14:paraId="3486F805" w14:textId="476E0895"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7" w:history="1">
            <w:r w:rsidR="002D5971" w:rsidRPr="00A77E30">
              <w:rPr>
                <w:rStyle w:val="Hyperlink"/>
                <w:rFonts w:ascii="Calibri" w:hAnsi="Calibri" w:cs="Calibri"/>
                <w:noProof/>
              </w:rPr>
              <w:t>7.</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Risk management</w:t>
            </w:r>
            <w:r w:rsidR="002D5971">
              <w:rPr>
                <w:noProof/>
                <w:webHidden/>
              </w:rPr>
              <w:tab/>
            </w:r>
            <w:r w:rsidR="002D5971">
              <w:rPr>
                <w:noProof/>
                <w:webHidden/>
              </w:rPr>
              <w:fldChar w:fldCharType="begin"/>
            </w:r>
            <w:r w:rsidR="002D5971">
              <w:rPr>
                <w:noProof/>
                <w:webHidden/>
              </w:rPr>
              <w:instrText xml:space="preserve"> PAGEREF _Toc171908187 \h </w:instrText>
            </w:r>
            <w:r w:rsidR="002D5971">
              <w:rPr>
                <w:noProof/>
                <w:webHidden/>
              </w:rPr>
            </w:r>
            <w:r w:rsidR="002D5971">
              <w:rPr>
                <w:noProof/>
                <w:webHidden/>
              </w:rPr>
              <w:fldChar w:fldCharType="separate"/>
            </w:r>
            <w:r w:rsidR="0096670A">
              <w:rPr>
                <w:noProof/>
                <w:webHidden/>
              </w:rPr>
              <w:t>26</w:t>
            </w:r>
            <w:r w:rsidR="002D5971">
              <w:rPr>
                <w:noProof/>
                <w:webHidden/>
              </w:rPr>
              <w:fldChar w:fldCharType="end"/>
            </w:r>
          </w:hyperlink>
        </w:p>
        <w:p w14:paraId="38E5951C" w14:textId="7B99FE3E" w:rsidR="002D5971" w:rsidRDefault="00000000">
          <w:pPr>
            <w:pStyle w:val="TOC3"/>
            <w:tabs>
              <w:tab w:val="right" w:leader="dot" w:pos="9204"/>
            </w:tabs>
            <w:rPr>
              <w:rFonts w:eastAsiaTheme="minorEastAsia" w:cstheme="minorBidi"/>
              <w:noProof/>
              <w:kern w:val="2"/>
              <w:sz w:val="24"/>
              <w:szCs w:val="24"/>
              <w14:ligatures w14:val="standardContextual"/>
            </w:rPr>
          </w:pPr>
          <w:hyperlink w:anchor="_Toc171908188" w:history="1">
            <w:r w:rsidR="002D5971" w:rsidRPr="00A77E30">
              <w:rPr>
                <w:rStyle w:val="Hyperlink"/>
                <w:rFonts w:ascii="Calibri" w:hAnsi="Calibri" w:cs="Calibri"/>
                <w:noProof/>
                <w:lang w:val="en-GB"/>
              </w:rPr>
              <w:t>Best practice on risk management</w:t>
            </w:r>
            <w:r w:rsidR="002D5971">
              <w:rPr>
                <w:noProof/>
                <w:webHidden/>
              </w:rPr>
              <w:tab/>
            </w:r>
            <w:r w:rsidR="002D5971">
              <w:rPr>
                <w:noProof/>
                <w:webHidden/>
              </w:rPr>
              <w:fldChar w:fldCharType="begin"/>
            </w:r>
            <w:r w:rsidR="002D5971">
              <w:rPr>
                <w:noProof/>
                <w:webHidden/>
              </w:rPr>
              <w:instrText xml:space="preserve"> PAGEREF _Toc171908188 \h </w:instrText>
            </w:r>
            <w:r w:rsidR="002D5971">
              <w:rPr>
                <w:noProof/>
                <w:webHidden/>
              </w:rPr>
            </w:r>
            <w:r w:rsidR="002D5971">
              <w:rPr>
                <w:noProof/>
                <w:webHidden/>
              </w:rPr>
              <w:fldChar w:fldCharType="separate"/>
            </w:r>
            <w:r w:rsidR="0096670A">
              <w:rPr>
                <w:noProof/>
                <w:webHidden/>
              </w:rPr>
              <w:t>28</w:t>
            </w:r>
            <w:r w:rsidR="002D5971">
              <w:rPr>
                <w:noProof/>
                <w:webHidden/>
              </w:rPr>
              <w:fldChar w:fldCharType="end"/>
            </w:r>
          </w:hyperlink>
        </w:p>
        <w:p w14:paraId="5A961CFA" w14:textId="7D95595E"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9" w:history="1">
            <w:r w:rsidR="002D5971" w:rsidRPr="00A77E30">
              <w:rPr>
                <w:rStyle w:val="Hyperlink"/>
                <w:rFonts w:ascii="Calibri" w:hAnsi="Calibri" w:cs="Calibri"/>
                <w:noProof/>
              </w:rPr>
              <w:t>8.</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Metrics and targets</w:t>
            </w:r>
            <w:r w:rsidR="002D5971">
              <w:rPr>
                <w:noProof/>
                <w:webHidden/>
              </w:rPr>
              <w:tab/>
            </w:r>
            <w:r w:rsidR="002D5971">
              <w:rPr>
                <w:noProof/>
                <w:webHidden/>
              </w:rPr>
              <w:fldChar w:fldCharType="begin"/>
            </w:r>
            <w:r w:rsidR="002D5971">
              <w:rPr>
                <w:noProof/>
                <w:webHidden/>
              </w:rPr>
              <w:instrText xml:space="preserve"> PAGEREF _Toc171908189 \h </w:instrText>
            </w:r>
            <w:r w:rsidR="002D5971">
              <w:rPr>
                <w:noProof/>
                <w:webHidden/>
              </w:rPr>
            </w:r>
            <w:r w:rsidR="002D5971">
              <w:rPr>
                <w:noProof/>
                <w:webHidden/>
              </w:rPr>
              <w:fldChar w:fldCharType="separate"/>
            </w:r>
            <w:r w:rsidR="0096670A">
              <w:rPr>
                <w:noProof/>
                <w:webHidden/>
              </w:rPr>
              <w:t>31</w:t>
            </w:r>
            <w:r w:rsidR="002D5971">
              <w:rPr>
                <w:noProof/>
                <w:webHidden/>
              </w:rPr>
              <w:fldChar w:fldCharType="end"/>
            </w:r>
          </w:hyperlink>
        </w:p>
        <w:p w14:paraId="4BE27970" w14:textId="3E0A8369" w:rsidR="002D5971" w:rsidRDefault="00000000">
          <w:pPr>
            <w:pStyle w:val="TOC2"/>
            <w:tabs>
              <w:tab w:val="right" w:leader="dot" w:pos="9204"/>
            </w:tabs>
            <w:rPr>
              <w:rFonts w:eastAsiaTheme="minorEastAsia" w:cstheme="minorBidi"/>
              <w:b w:val="0"/>
              <w:bCs w:val="0"/>
              <w:noProof/>
              <w:kern w:val="2"/>
              <w:sz w:val="24"/>
              <w:szCs w:val="24"/>
              <w14:ligatures w14:val="standardContextual"/>
            </w:rPr>
          </w:pPr>
          <w:hyperlink w:anchor="_Toc171908190" w:history="1">
            <w:r w:rsidR="002D5971" w:rsidRPr="00A77E30">
              <w:rPr>
                <w:rStyle w:val="Hyperlink"/>
                <w:rFonts w:ascii="Calibri" w:hAnsi="Calibri" w:cs="Calibri"/>
                <w:noProof/>
              </w:rPr>
              <w:t>Best practice on metrics and targets</w:t>
            </w:r>
            <w:r w:rsidR="002D5971">
              <w:rPr>
                <w:noProof/>
                <w:webHidden/>
              </w:rPr>
              <w:tab/>
            </w:r>
            <w:r w:rsidR="002D5971">
              <w:rPr>
                <w:noProof/>
                <w:webHidden/>
              </w:rPr>
              <w:fldChar w:fldCharType="begin"/>
            </w:r>
            <w:r w:rsidR="002D5971">
              <w:rPr>
                <w:noProof/>
                <w:webHidden/>
              </w:rPr>
              <w:instrText xml:space="preserve"> PAGEREF _Toc171908190 \h </w:instrText>
            </w:r>
            <w:r w:rsidR="002D5971">
              <w:rPr>
                <w:noProof/>
                <w:webHidden/>
              </w:rPr>
            </w:r>
            <w:r w:rsidR="002D5971">
              <w:rPr>
                <w:noProof/>
                <w:webHidden/>
              </w:rPr>
              <w:fldChar w:fldCharType="separate"/>
            </w:r>
            <w:r w:rsidR="0096670A">
              <w:rPr>
                <w:noProof/>
                <w:webHidden/>
              </w:rPr>
              <w:t>32</w:t>
            </w:r>
            <w:r w:rsidR="002D5971">
              <w:rPr>
                <w:noProof/>
                <w:webHidden/>
              </w:rPr>
              <w:fldChar w:fldCharType="end"/>
            </w:r>
          </w:hyperlink>
        </w:p>
        <w:p w14:paraId="4A5996A1" w14:textId="6709C3F8" w:rsidR="002D5971" w:rsidRDefault="00000000">
          <w:pPr>
            <w:pStyle w:val="TOC3"/>
            <w:tabs>
              <w:tab w:val="right" w:leader="dot" w:pos="9204"/>
            </w:tabs>
            <w:rPr>
              <w:rFonts w:eastAsiaTheme="minorEastAsia" w:cstheme="minorBidi"/>
              <w:noProof/>
              <w:kern w:val="2"/>
              <w:sz w:val="24"/>
              <w:szCs w:val="24"/>
              <w14:ligatures w14:val="standardContextual"/>
            </w:rPr>
          </w:pPr>
          <w:hyperlink w:anchor="_Toc171908191" w:history="1">
            <w:r w:rsidR="002D5971" w:rsidRPr="00A77E30">
              <w:rPr>
                <w:rStyle w:val="Hyperlink"/>
                <w:rFonts w:ascii="Calibri" w:hAnsi="Calibri" w:cs="Calibri"/>
                <w:noProof/>
                <w:lang w:val="en-GB"/>
              </w:rPr>
              <w:t>Climate-related metrics</w:t>
            </w:r>
            <w:r w:rsidR="002D5971">
              <w:rPr>
                <w:noProof/>
                <w:webHidden/>
              </w:rPr>
              <w:tab/>
            </w:r>
            <w:r w:rsidR="002D5971">
              <w:rPr>
                <w:noProof/>
                <w:webHidden/>
              </w:rPr>
              <w:fldChar w:fldCharType="begin"/>
            </w:r>
            <w:r w:rsidR="002D5971">
              <w:rPr>
                <w:noProof/>
                <w:webHidden/>
              </w:rPr>
              <w:instrText xml:space="preserve"> PAGEREF _Toc171908191 \h </w:instrText>
            </w:r>
            <w:r w:rsidR="002D5971">
              <w:rPr>
                <w:noProof/>
                <w:webHidden/>
              </w:rPr>
            </w:r>
            <w:r w:rsidR="002D5971">
              <w:rPr>
                <w:noProof/>
                <w:webHidden/>
              </w:rPr>
              <w:fldChar w:fldCharType="separate"/>
            </w:r>
            <w:r w:rsidR="0096670A">
              <w:rPr>
                <w:noProof/>
                <w:webHidden/>
              </w:rPr>
              <w:t>32</w:t>
            </w:r>
            <w:r w:rsidR="002D5971">
              <w:rPr>
                <w:noProof/>
                <w:webHidden/>
              </w:rPr>
              <w:fldChar w:fldCharType="end"/>
            </w:r>
          </w:hyperlink>
        </w:p>
        <w:p w14:paraId="69F46944" w14:textId="04AD8F20" w:rsidR="002D5971" w:rsidRDefault="00000000">
          <w:pPr>
            <w:pStyle w:val="TOC3"/>
            <w:tabs>
              <w:tab w:val="right" w:leader="dot" w:pos="9204"/>
            </w:tabs>
            <w:rPr>
              <w:rFonts w:eastAsiaTheme="minorEastAsia" w:cstheme="minorBidi"/>
              <w:noProof/>
              <w:kern w:val="2"/>
              <w:sz w:val="24"/>
              <w:szCs w:val="24"/>
              <w14:ligatures w14:val="standardContextual"/>
            </w:rPr>
          </w:pPr>
          <w:hyperlink w:anchor="_Toc171908192" w:history="1">
            <w:r w:rsidR="002D5971" w:rsidRPr="00A77E30">
              <w:rPr>
                <w:rStyle w:val="Hyperlink"/>
                <w:rFonts w:ascii="Calibri" w:hAnsi="Calibri" w:cs="Calibri"/>
                <w:noProof/>
                <w:lang w:val="en-GB"/>
              </w:rPr>
              <w:t>Climate-related targets</w:t>
            </w:r>
            <w:r w:rsidR="002D5971">
              <w:rPr>
                <w:noProof/>
                <w:webHidden/>
              </w:rPr>
              <w:tab/>
            </w:r>
            <w:r w:rsidR="002D5971">
              <w:rPr>
                <w:noProof/>
                <w:webHidden/>
              </w:rPr>
              <w:fldChar w:fldCharType="begin"/>
            </w:r>
            <w:r w:rsidR="002D5971">
              <w:rPr>
                <w:noProof/>
                <w:webHidden/>
              </w:rPr>
              <w:instrText xml:space="preserve"> PAGEREF _Toc171908192 \h </w:instrText>
            </w:r>
            <w:r w:rsidR="002D5971">
              <w:rPr>
                <w:noProof/>
                <w:webHidden/>
              </w:rPr>
            </w:r>
            <w:r w:rsidR="002D5971">
              <w:rPr>
                <w:noProof/>
                <w:webHidden/>
              </w:rPr>
              <w:fldChar w:fldCharType="separate"/>
            </w:r>
            <w:r w:rsidR="0096670A">
              <w:rPr>
                <w:noProof/>
                <w:webHidden/>
              </w:rPr>
              <w:t>32</w:t>
            </w:r>
            <w:r w:rsidR="002D5971">
              <w:rPr>
                <w:noProof/>
                <w:webHidden/>
              </w:rPr>
              <w:fldChar w:fldCharType="end"/>
            </w:r>
          </w:hyperlink>
        </w:p>
        <w:p w14:paraId="60773A2E" w14:textId="08CDA4BE" w:rsidR="002D5971" w:rsidRDefault="00000000">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93" w:history="1">
            <w:r w:rsidR="002D5971" w:rsidRPr="00A77E30">
              <w:rPr>
                <w:rStyle w:val="Hyperlink"/>
                <w:rFonts w:ascii="Calibri" w:hAnsi="Calibri" w:cs="Calibri"/>
                <w:noProof/>
              </w:rPr>
              <w:t>9.</w:t>
            </w:r>
            <w:r w:rsidR="002D5971">
              <w:rPr>
                <w:rFonts w:eastAsiaTheme="minorEastAsia" w:cstheme="minorBidi"/>
                <w:b w:val="0"/>
                <w:bCs w:val="0"/>
                <w:i w:val="0"/>
                <w:iCs w:val="0"/>
                <w:noProof/>
                <w:kern w:val="2"/>
                <w14:ligatures w14:val="standardContextual"/>
              </w:rPr>
              <w:tab/>
            </w:r>
            <w:r w:rsidR="002D5971" w:rsidRPr="00A77E30">
              <w:rPr>
                <w:rStyle w:val="Hyperlink"/>
                <w:rFonts w:ascii="Calibri" w:hAnsi="Calibri" w:cs="Calibri"/>
                <w:noProof/>
              </w:rPr>
              <w:t>Implementation timeline</w:t>
            </w:r>
            <w:r w:rsidR="002D5971">
              <w:rPr>
                <w:noProof/>
                <w:webHidden/>
              </w:rPr>
              <w:tab/>
            </w:r>
            <w:r w:rsidR="002D5971">
              <w:rPr>
                <w:noProof/>
                <w:webHidden/>
              </w:rPr>
              <w:fldChar w:fldCharType="begin"/>
            </w:r>
            <w:r w:rsidR="002D5971">
              <w:rPr>
                <w:noProof/>
                <w:webHidden/>
              </w:rPr>
              <w:instrText xml:space="preserve"> PAGEREF _Toc171908193 \h </w:instrText>
            </w:r>
            <w:r w:rsidR="002D5971">
              <w:rPr>
                <w:noProof/>
                <w:webHidden/>
              </w:rPr>
            </w:r>
            <w:r w:rsidR="002D5971">
              <w:rPr>
                <w:noProof/>
                <w:webHidden/>
              </w:rPr>
              <w:fldChar w:fldCharType="separate"/>
            </w:r>
            <w:r w:rsidR="0096670A">
              <w:rPr>
                <w:noProof/>
                <w:webHidden/>
              </w:rPr>
              <w:t>34</w:t>
            </w:r>
            <w:r w:rsidR="002D5971">
              <w:rPr>
                <w:noProof/>
                <w:webHidden/>
              </w:rPr>
              <w:fldChar w:fldCharType="end"/>
            </w:r>
          </w:hyperlink>
        </w:p>
        <w:p w14:paraId="58FFE6CD" w14:textId="2D21006F" w:rsidR="002D5971" w:rsidRDefault="00000000">
          <w:pPr>
            <w:pStyle w:val="TOC2"/>
            <w:tabs>
              <w:tab w:val="right" w:leader="dot" w:pos="9204"/>
            </w:tabs>
            <w:rPr>
              <w:rFonts w:eastAsiaTheme="minorEastAsia" w:cstheme="minorBidi"/>
              <w:b w:val="0"/>
              <w:bCs w:val="0"/>
              <w:noProof/>
              <w:kern w:val="2"/>
              <w:sz w:val="24"/>
              <w:szCs w:val="24"/>
              <w14:ligatures w14:val="standardContextual"/>
            </w:rPr>
          </w:pPr>
          <w:hyperlink w:anchor="_Toc171908194" w:history="1">
            <w:r w:rsidR="002D5971" w:rsidRPr="00A77E30">
              <w:rPr>
                <w:rStyle w:val="Hyperlink"/>
                <w:noProof/>
                <w:lang w:val="en-GB"/>
              </w:rPr>
              <w:t>Bibliography</w:t>
            </w:r>
            <w:r w:rsidR="002D5971">
              <w:rPr>
                <w:noProof/>
                <w:webHidden/>
              </w:rPr>
              <w:tab/>
            </w:r>
            <w:r w:rsidR="002D5971">
              <w:rPr>
                <w:noProof/>
                <w:webHidden/>
              </w:rPr>
              <w:fldChar w:fldCharType="begin"/>
            </w:r>
            <w:r w:rsidR="002D5971">
              <w:rPr>
                <w:noProof/>
                <w:webHidden/>
              </w:rPr>
              <w:instrText xml:space="preserve"> PAGEREF _Toc171908194 \h </w:instrText>
            </w:r>
            <w:r w:rsidR="002D5971">
              <w:rPr>
                <w:noProof/>
                <w:webHidden/>
              </w:rPr>
            </w:r>
            <w:r w:rsidR="002D5971">
              <w:rPr>
                <w:noProof/>
                <w:webHidden/>
              </w:rPr>
              <w:fldChar w:fldCharType="separate"/>
            </w:r>
            <w:r w:rsidR="0096670A">
              <w:rPr>
                <w:noProof/>
                <w:webHidden/>
              </w:rPr>
              <w:t>35</w:t>
            </w:r>
            <w:r w:rsidR="002D5971">
              <w:rPr>
                <w:noProof/>
                <w:webHidden/>
              </w:rPr>
              <w:fldChar w:fldCharType="end"/>
            </w:r>
          </w:hyperlink>
        </w:p>
        <w:p w14:paraId="1C2FBDC6" w14:textId="6C463C7B" w:rsidR="00B720D9" w:rsidRPr="003C4F95" w:rsidRDefault="00B720D9">
          <w:pPr>
            <w:rPr>
              <w:rFonts w:ascii="Calibri" w:hAnsi="Calibri" w:cs="Calibri"/>
            </w:rPr>
          </w:pPr>
          <w:r w:rsidRPr="00647D87">
            <w:rPr>
              <w:rFonts w:ascii="Calibri" w:hAnsi="Calibri" w:cs="Calibri"/>
              <w:b/>
              <w:bCs/>
              <w:noProof/>
            </w:rPr>
            <w:fldChar w:fldCharType="end"/>
          </w:r>
        </w:p>
      </w:sdtContent>
    </w:sdt>
    <w:p w14:paraId="20ED5431" w14:textId="2B3EBE43" w:rsidR="009F5B6E" w:rsidRPr="00877447" w:rsidRDefault="00BE32C1" w:rsidP="00616282">
      <w:pPr>
        <w:rPr>
          <w:rFonts w:ascii="Calibri" w:hAnsi="Calibri" w:cs="Calibri"/>
          <w:b/>
          <w:bCs/>
          <w:lang w:val="en-GB"/>
        </w:rPr>
      </w:pPr>
      <w:bookmarkStart w:id="1" w:name="_Toc167079472"/>
      <w:r w:rsidRPr="00877447">
        <w:rPr>
          <w:rFonts w:ascii="Calibri" w:hAnsi="Calibri" w:cs="Calibri"/>
          <w:b/>
          <w:bCs/>
          <w:lang w:val="en-GB"/>
        </w:rPr>
        <w:t>List of Tables</w:t>
      </w:r>
      <w:bookmarkEnd w:id="0"/>
      <w:bookmarkEnd w:id="1"/>
    </w:p>
    <w:p w14:paraId="5CAF47FE" w14:textId="77777777" w:rsidR="00BE32C1" w:rsidRPr="0008057D" w:rsidRDefault="00BE32C1" w:rsidP="00616282">
      <w:pPr>
        <w:rPr>
          <w:rFonts w:asciiTheme="minorHAnsi" w:hAnsiTheme="minorHAnsi" w:cstheme="minorHAnsi"/>
          <w:lang w:val="en-GB"/>
        </w:rPr>
      </w:pPr>
    </w:p>
    <w:p w14:paraId="08BE723A" w14:textId="7A0B0953" w:rsidR="002D5971" w:rsidRPr="0008057D" w:rsidRDefault="006C78A6">
      <w:pPr>
        <w:pStyle w:val="TableofFigures"/>
        <w:tabs>
          <w:tab w:val="right" w:leader="dot" w:pos="9204"/>
        </w:tabs>
        <w:rPr>
          <w:rFonts w:asciiTheme="minorHAnsi" w:eastAsiaTheme="minorEastAsia" w:hAnsiTheme="minorHAnsi" w:cstheme="minorHAnsi"/>
          <w:noProof/>
          <w:kern w:val="2"/>
          <w:sz w:val="22"/>
          <w:szCs w:val="22"/>
          <w14:ligatures w14:val="standardContextual"/>
        </w:rPr>
      </w:pPr>
      <w:r w:rsidRPr="0008057D">
        <w:rPr>
          <w:rFonts w:asciiTheme="minorHAnsi" w:hAnsiTheme="minorHAnsi" w:cstheme="minorHAnsi"/>
          <w:sz w:val="22"/>
          <w:szCs w:val="22"/>
          <w:lang w:val="en-GB"/>
        </w:rPr>
        <w:fldChar w:fldCharType="begin"/>
      </w:r>
      <w:r w:rsidRPr="0008057D">
        <w:rPr>
          <w:rFonts w:asciiTheme="minorHAnsi" w:hAnsiTheme="minorHAnsi" w:cstheme="minorHAnsi"/>
          <w:sz w:val="22"/>
          <w:szCs w:val="22"/>
          <w:lang w:val="en-GB"/>
        </w:rPr>
        <w:instrText xml:space="preserve"> TOC \h \z \c "Table" </w:instrText>
      </w:r>
      <w:r w:rsidRPr="0008057D">
        <w:rPr>
          <w:rFonts w:asciiTheme="minorHAnsi" w:hAnsiTheme="minorHAnsi" w:cstheme="minorHAnsi"/>
          <w:sz w:val="22"/>
          <w:szCs w:val="22"/>
          <w:lang w:val="en-GB"/>
        </w:rPr>
        <w:fldChar w:fldCharType="separate"/>
      </w:r>
      <w:hyperlink w:anchor="_Toc171908195" w:history="1">
        <w:r w:rsidR="002D5971" w:rsidRPr="0008057D">
          <w:rPr>
            <w:rStyle w:val="Hyperlink"/>
            <w:rFonts w:asciiTheme="minorHAnsi" w:hAnsiTheme="minorHAnsi" w:cstheme="minorHAnsi"/>
            <w:noProof/>
            <w:sz w:val="22"/>
            <w:szCs w:val="22"/>
            <w:lang w:val="en-GB"/>
          </w:rPr>
          <w:t>Table 1: Physical Risk Exposure Reporting Template Part A</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_Toc171908195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11</w:t>
        </w:r>
        <w:r w:rsidR="002D5971" w:rsidRPr="0008057D">
          <w:rPr>
            <w:rFonts w:asciiTheme="minorHAnsi" w:hAnsiTheme="minorHAnsi" w:cstheme="minorHAnsi"/>
            <w:noProof/>
            <w:webHidden/>
            <w:sz w:val="22"/>
            <w:szCs w:val="22"/>
          </w:rPr>
          <w:fldChar w:fldCharType="end"/>
        </w:r>
      </w:hyperlink>
    </w:p>
    <w:p w14:paraId="0D30CF26" w14:textId="6A022466"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6" w:history="1">
        <w:r w:rsidR="002D5971" w:rsidRPr="0008057D">
          <w:rPr>
            <w:rStyle w:val="Hyperlink"/>
            <w:rFonts w:asciiTheme="minorHAnsi" w:hAnsiTheme="minorHAnsi" w:cstheme="minorHAnsi"/>
            <w:noProof/>
            <w:sz w:val="22"/>
            <w:szCs w:val="22"/>
            <w:lang w:val="en-GB"/>
          </w:rPr>
          <w:t>Table 2: Physical Risk Exposure Reporting Template Part B</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_Toc171908196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11</w:t>
        </w:r>
        <w:r w:rsidR="002D5971" w:rsidRPr="0008057D">
          <w:rPr>
            <w:rFonts w:asciiTheme="minorHAnsi" w:hAnsiTheme="minorHAnsi" w:cstheme="minorHAnsi"/>
            <w:noProof/>
            <w:webHidden/>
            <w:sz w:val="22"/>
            <w:szCs w:val="22"/>
          </w:rPr>
          <w:fldChar w:fldCharType="end"/>
        </w:r>
      </w:hyperlink>
    </w:p>
    <w:p w14:paraId="2487A180" w14:textId="532DA1E1"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7" w:history="1">
        <w:r w:rsidR="002D5971" w:rsidRPr="0008057D">
          <w:rPr>
            <w:rStyle w:val="Hyperlink"/>
            <w:rFonts w:asciiTheme="minorHAnsi" w:hAnsiTheme="minorHAnsi" w:cstheme="minorHAnsi"/>
            <w:noProof/>
            <w:sz w:val="22"/>
            <w:szCs w:val="22"/>
            <w:lang w:val="en-GB"/>
          </w:rPr>
          <w:t>Table 3: Tool for the identification of hazards by county and risk level scores</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_Toc171908197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12</w:t>
        </w:r>
        <w:r w:rsidR="002D5971" w:rsidRPr="0008057D">
          <w:rPr>
            <w:rFonts w:asciiTheme="minorHAnsi" w:hAnsiTheme="minorHAnsi" w:cstheme="minorHAnsi"/>
            <w:noProof/>
            <w:webHidden/>
            <w:sz w:val="22"/>
            <w:szCs w:val="22"/>
          </w:rPr>
          <w:fldChar w:fldCharType="end"/>
        </w:r>
      </w:hyperlink>
    </w:p>
    <w:p w14:paraId="024B63ED" w14:textId="0626A8B2"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8" w:history="1">
        <w:r w:rsidR="002D5971" w:rsidRPr="0008057D">
          <w:rPr>
            <w:rStyle w:val="Hyperlink"/>
            <w:rFonts w:asciiTheme="minorHAnsi" w:hAnsiTheme="minorHAnsi" w:cstheme="minorHAnsi"/>
            <w:noProof/>
            <w:sz w:val="22"/>
            <w:szCs w:val="22"/>
            <w:lang w:val="en-GB"/>
          </w:rPr>
          <w:t>Table 4: Transition Risk Exposure Reporting Template Part A</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_Toc171908198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13</w:t>
        </w:r>
        <w:r w:rsidR="002D5971" w:rsidRPr="0008057D">
          <w:rPr>
            <w:rFonts w:asciiTheme="minorHAnsi" w:hAnsiTheme="minorHAnsi" w:cstheme="minorHAnsi"/>
            <w:noProof/>
            <w:webHidden/>
            <w:sz w:val="22"/>
            <w:szCs w:val="22"/>
          </w:rPr>
          <w:fldChar w:fldCharType="end"/>
        </w:r>
      </w:hyperlink>
    </w:p>
    <w:p w14:paraId="214525F5" w14:textId="05F98AA7"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9" w:history="1">
        <w:r w:rsidR="002D5971" w:rsidRPr="0008057D">
          <w:rPr>
            <w:rStyle w:val="Hyperlink"/>
            <w:rFonts w:asciiTheme="minorHAnsi" w:hAnsiTheme="minorHAnsi" w:cstheme="minorHAnsi"/>
            <w:noProof/>
            <w:sz w:val="22"/>
            <w:szCs w:val="22"/>
            <w:lang w:val="en-GB"/>
          </w:rPr>
          <w:t>Table 5: Transition Risk Exposure Reporting Template Part B</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_Toc171908199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14</w:t>
        </w:r>
        <w:r w:rsidR="002D5971" w:rsidRPr="0008057D">
          <w:rPr>
            <w:rFonts w:asciiTheme="minorHAnsi" w:hAnsiTheme="minorHAnsi" w:cstheme="minorHAnsi"/>
            <w:noProof/>
            <w:webHidden/>
            <w:sz w:val="22"/>
            <w:szCs w:val="22"/>
          </w:rPr>
          <w:fldChar w:fldCharType="end"/>
        </w:r>
      </w:hyperlink>
    </w:p>
    <w:p w14:paraId="74CDFDF2" w14:textId="727491A5"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0" w:history="1">
        <w:r w:rsidR="002D5971" w:rsidRPr="0008057D">
          <w:rPr>
            <w:rStyle w:val="Hyperlink"/>
            <w:rFonts w:asciiTheme="minorHAnsi" w:hAnsiTheme="minorHAnsi" w:cstheme="minorHAnsi"/>
            <w:noProof/>
            <w:sz w:val="22"/>
            <w:szCs w:val="22"/>
            <w:lang w:val="en-GB"/>
          </w:rPr>
          <w:t>Table 6: Transition Risk Exposure Reporting Template Part C</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_Toc171908200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14</w:t>
        </w:r>
        <w:r w:rsidR="002D5971" w:rsidRPr="0008057D">
          <w:rPr>
            <w:rFonts w:asciiTheme="minorHAnsi" w:hAnsiTheme="minorHAnsi" w:cstheme="minorHAnsi"/>
            <w:noProof/>
            <w:webHidden/>
            <w:sz w:val="22"/>
            <w:szCs w:val="22"/>
          </w:rPr>
          <w:fldChar w:fldCharType="end"/>
        </w:r>
      </w:hyperlink>
    </w:p>
    <w:p w14:paraId="1D942ADF" w14:textId="2D68C304"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1" w:history="1">
        <w:r w:rsidR="002D5971" w:rsidRPr="0008057D">
          <w:rPr>
            <w:rStyle w:val="Hyperlink"/>
            <w:rFonts w:asciiTheme="minorHAnsi" w:hAnsiTheme="minorHAnsi" w:cstheme="minorHAnsi"/>
            <w:noProof/>
            <w:sz w:val="22"/>
            <w:szCs w:val="22"/>
            <w:lang w:val="en-GB"/>
          </w:rPr>
          <w:t>Table 7. Linking CBK, IFRS and BCBS expectations on governance</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_Toc171908201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15</w:t>
        </w:r>
        <w:r w:rsidR="002D5971" w:rsidRPr="0008057D">
          <w:rPr>
            <w:rFonts w:asciiTheme="minorHAnsi" w:hAnsiTheme="minorHAnsi" w:cstheme="minorHAnsi"/>
            <w:noProof/>
            <w:webHidden/>
            <w:sz w:val="22"/>
            <w:szCs w:val="22"/>
          </w:rPr>
          <w:fldChar w:fldCharType="end"/>
        </w:r>
      </w:hyperlink>
    </w:p>
    <w:p w14:paraId="583D6D86" w14:textId="698CF931"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2" w:history="1">
        <w:r w:rsidR="002D5971" w:rsidRPr="0008057D">
          <w:rPr>
            <w:rStyle w:val="Hyperlink"/>
            <w:rFonts w:asciiTheme="minorHAnsi" w:hAnsiTheme="minorHAnsi" w:cstheme="minorHAnsi"/>
            <w:noProof/>
            <w:sz w:val="22"/>
            <w:szCs w:val="22"/>
            <w:lang w:val="en-GB"/>
          </w:rPr>
          <w:t>Table 8. Adopting climate risk in the governance of financial institutions</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_Toc171908202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17</w:t>
        </w:r>
        <w:r w:rsidR="002D5971" w:rsidRPr="0008057D">
          <w:rPr>
            <w:rFonts w:asciiTheme="minorHAnsi" w:hAnsiTheme="minorHAnsi" w:cstheme="minorHAnsi"/>
            <w:noProof/>
            <w:webHidden/>
            <w:sz w:val="22"/>
            <w:szCs w:val="22"/>
          </w:rPr>
          <w:fldChar w:fldCharType="end"/>
        </w:r>
      </w:hyperlink>
    </w:p>
    <w:p w14:paraId="479F9694" w14:textId="303C3A17"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3" w:history="1">
        <w:r w:rsidR="002D5971" w:rsidRPr="0008057D">
          <w:rPr>
            <w:rStyle w:val="Hyperlink"/>
            <w:rFonts w:asciiTheme="minorHAnsi" w:hAnsiTheme="minorHAnsi" w:cstheme="minorHAnsi"/>
            <w:noProof/>
            <w:sz w:val="22"/>
            <w:szCs w:val="22"/>
            <w:lang w:val="en-GB"/>
          </w:rPr>
          <w:t>Table 9. Questionnaires and Tables on Governance</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_Toc171908203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18</w:t>
        </w:r>
        <w:r w:rsidR="002D5971" w:rsidRPr="0008057D">
          <w:rPr>
            <w:rFonts w:asciiTheme="minorHAnsi" w:hAnsiTheme="minorHAnsi" w:cstheme="minorHAnsi"/>
            <w:noProof/>
            <w:webHidden/>
            <w:sz w:val="22"/>
            <w:szCs w:val="22"/>
          </w:rPr>
          <w:fldChar w:fldCharType="end"/>
        </w:r>
      </w:hyperlink>
    </w:p>
    <w:p w14:paraId="506090FE" w14:textId="748F166C"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4" w:history="1">
        <w:r w:rsidR="002D5971" w:rsidRPr="0008057D">
          <w:rPr>
            <w:rStyle w:val="Hyperlink"/>
            <w:rFonts w:asciiTheme="minorHAnsi" w:hAnsiTheme="minorHAnsi" w:cstheme="minorHAnsi"/>
            <w:noProof/>
            <w:sz w:val="22"/>
            <w:szCs w:val="22"/>
            <w:lang w:val="en-GB"/>
          </w:rPr>
          <w:t>Table 10. Linking CBK, IFRS and BCBS expectations on business strategy</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_Toc171908204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19</w:t>
        </w:r>
        <w:r w:rsidR="002D5971" w:rsidRPr="0008057D">
          <w:rPr>
            <w:rFonts w:asciiTheme="minorHAnsi" w:hAnsiTheme="minorHAnsi" w:cstheme="minorHAnsi"/>
            <w:noProof/>
            <w:webHidden/>
            <w:sz w:val="22"/>
            <w:szCs w:val="22"/>
          </w:rPr>
          <w:fldChar w:fldCharType="end"/>
        </w:r>
      </w:hyperlink>
    </w:p>
    <w:p w14:paraId="23A74953" w14:textId="5B9E2F8E"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5" w:history="1">
        <w:r w:rsidR="002D5971" w:rsidRPr="0008057D">
          <w:rPr>
            <w:rStyle w:val="Hyperlink"/>
            <w:rFonts w:asciiTheme="minorHAnsi" w:hAnsiTheme="minorHAnsi" w:cstheme="minorHAnsi"/>
            <w:noProof/>
            <w:sz w:val="22"/>
            <w:szCs w:val="22"/>
            <w:lang w:val="en-GB"/>
          </w:rPr>
          <w:t>Table 11. Qualitative questionnaire on business strategy</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_Toc171908205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20</w:t>
        </w:r>
        <w:r w:rsidR="002D5971" w:rsidRPr="0008057D">
          <w:rPr>
            <w:rFonts w:asciiTheme="minorHAnsi" w:hAnsiTheme="minorHAnsi" w:cstheme="minorHAnsi"/>
            <w:noProof/>
            <w:webHidden/>
            <w:sz w:val="22"/>
            <w:szCs w:val="22"/>
          </w:rPr>
          <w:fldChar w:fldCharType="end"/>
        </w:r>
      </w:hyperlink>
    </w:p>
    <w:p w14:paraId="63B4C1F4" w14:textId="50016EC3"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6" w:history="1">
        <w:r w:rsidR="002D5971" w:rsidRPr="0008057D">
          <w:rPr>
            <w:rStyle w:val="Hyperlink"/>
            <w:rFonts w:asciiTheme="minorHAnsi" w:hAnsiTheme="minorHAnsi" w:cstheme="minorHAnsi"/>
            <w:noProof/>
            <w:sz w:val="22"/>
            <w:szCs w:val="22"/>
            <w:lang w:val="en-GB"/>
          </w:rPr>
          <w:t>Table 12. Example of climate-driven financial risks and opportunities</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_Toc171908206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22</w:t>
        </w:r>
        <w:r w:rsidR="002D5971" w:rsidRPr="0008057D">
          <w:rPr>
            <w:rFonts w:asciiTheme="minorHAnsi" w:hAnsiTheme="minorHAnsi" w:cstheme="minorHAnsi"/>
            <w:noProof/>
            <w:webHidden/>
            <w:sz w:val="22"/>
            <w:szCs w:val="22"/>
          </w:rPr>
          <w:fldChar w:fldCharType="end"/>
        </w:r>
      </w:hyperlink>
    </w:p>
    <w:p w14:paraId="28818E73" w14:textId="28CCF442"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7" w:history="1">
        <w:r w:rsidR="002D5971" w:rsidRPr="0008057D">
          <w:rPr>
            <w:rStyle w:val="Hyperlink"/>
            <w:rFonts w:asciiTheme="minorHAnsi" w:hAnsiTheme="minorHAnsi" w:cstheme="minorHAnsi"/>
            <w:noProof/>
            <w:sz w:val="22"/>
            <w:szCs w:val="22"/>
            <w:lang w:val="en-GB"/>
          </w:rPr>
          <w:t>Table 13. Climate related materiality assessment</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_Toc171908207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23</w:t>
        </w:r>
        <w:r w:rsidR="002D5971" w:rsidRPr="0008057D">
          <w:rPr>
            <w:rFonts w:asciiTheme="minorHAnsi" w:hAnsiTheme="minorHAnsi" w:cstheme="minorHAnsi"/>
            <w:noProof/>
            <w:webHidden/>
            <w:sz w:val="22"/>
            <w:szCs w:val="22"/>
          </w:rPr>
          <w:fldChar w:fldCharType="end"/>
        </w:r>
      </w:hyperlink>
    </w:p>
    <w:p w14:paraId="0D429F55" w14:textId="32707B71"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8" w:history="1">
        <w:r w:rsidR="002D5971" w:rsidRPr="0008057D">
          <w:rPr>
            <w:rStyle w:val="Hyperlink"/>
            <w:rFonts w:asciiTheme="minorHAnsi" w:hAnsiTheme="minorHAnsi" w:cstheme="minorHAnsi"/>
            <w:noProof/>
            <w:sz w:val="22"/>
            <w:szCs w:val="22"/>
            <w:lang w:val="en-GB"/>
          </w:rPr>
          <w:t>Table 14. Template for reporting optional alignment metrics</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_Toc171908208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24</w:t>
        </w:r>
        <w:r w:rsidR="002D5971" w:rsidRPr="0008057D">
          <w:rPr>
            <w:rFonts w:asciiTheme="minorHAnsi" w:hAnsiTheme="minorHAnsi" w:cstheme="minorHAnsi"/>
            <w:noProof/>
            <w:webHidden/>
            <w:sz w:val="22"/>
            <w:szCs w:val="22"/>
          </w:rPr>
          <w:fldChar w:fldCharType="end"/>
        </w:r>
      </w:hyperlink>
    </w:p>
    <w:p w14:paraId="4FE73347" w14:textId="4A09E06C"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9" w:history="1">
        <w:r w:rsidR="002D5971" w:rsidRPr="0008057D">
          <w:rPr>
            <w:rStyle w:val="Hyperlink"/>
            <w:rFonts w:asciiTheme="minorHAnsi" w:hAnsiTheme="minorHAnsi" w:cstheme="minorHAnsi"/>
            <w:noProof/>
            <w:sz w:val="22"/>
            <w:szCs w:val="22"/>
            <w:lang w:val="en-GB"/>
          </w:rPr>
          <w:t>Table 15 Linking CBK, IFRS and BCBS expectations on risk management</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_Toc171908209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26</w:t>
        </w:r>
        <w:r w:rsidR="002D5971" w:rsidRPr="0008057D">
          <w:rPr>
            <w:rFonts w:asciiTheme="minorHAnsi" w:hAnsiTheme="minorHAnsi" w:cstheme="minorHAnsi"/>
            <w:noProof/>
            <w:webHidden/>
            <w:sz w:val="22"/>
            <w:szCs w:val="22"/>
          </w:rPr>
          <w:fldChar w:fldCharType="end"/>
        </w:r>
      </w:hyperlink>
    </w:p>
    <w:p w14:paraId="73A71BDB" w14:textId="52601510"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0" w:history="1">
        <w:r w:rsidR="002D5971" w:rsidRPr="0008057D">
          <w:rPr>
            <w:rStyle w:val="Hyperlink"/>
            <w:rFonts w:asciiTheme="minorHAnsi" w:hAnsiTheme="minorHAnsi" w:cstheme="minorHAnsi"/>
            <w:noProof/>
            <w:sz w:val="22"/>
            <w:szCs w:val="22"/>
            <w:lang w:val="en-GB"/>
          </w:rPr>
          <w:t>Table 16 Framework Template questionnaire on risk management, scenarios, and transition planning</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_Toc171908210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31</w:t>
        </w:r>
        <w:r w:rsidR="002D5971" w:rsidRPr="0008057D">
          <w:rPr>
            <w:rFonts w:asciiTheme="minorHAnsi" w:hAnsiTheme="minorHAnsi" w:cstheme="minorHAnsi"/>
            <w:noProof/>
            <w:webHidden/>
            <w:sz w:val="22"/>
            <w:szCs w:val="22"/>
          </w:rPr>
          <w:fldChar w:fldCharType="end"/>
        </w:r>
      </w:hyperlink>
    </w:p>
    <w:p w14:paraId="6CE4A46E" w14:textId="7ACD3A68"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1" w:history="1">
        <w:r w:rsidR="002D5971" w:rsidRPr="0008057D">
          <w:rPr>
            <w:rStyle w:val="Hyperlink"/>
            <w:rFonts w:asciiTheme="minorHAnsi" w:hAnsiTheme="minorHAnsi" w:cstheme="minorHAnsi"/>
            <w:noProof/>
            <w:sz w:val="22"/>
            <w:szCs w:val="22"/>
            <w:lang w:val="en-GB"/>
          </w:rPr>
          <w:t>Table 17. Linking CBK, IFRS and BCBS expectations on metrics and targets</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_Toc171908211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31</w:t>
        </w:r>
        <w:r w:rsidR="002D5971" w:rsidRPr="0008057D">
          <w:rPr>
            <w:rFonts w:asciiTheme="minorHAnsi" w:hAnsiTheme="minorHAnsi" w:cstheme="minorHAnsi"/>
            <w:noProof/>
            <w:webHidden/>
            <w:sz w:val="22"/>
            <w:szCs w:val="22"/>
          </w:rPr>
          <w:fldChar w:fldCharType="end"/>
        </w:r>
      </w:hyperlink>
    </w:p>
    <w:p w14:paraId="1A85042D" w14:textId="65F813B1" w:rsidR="002D5971" w:rsidRPr="0008057D" w:rsidRDefault="00000000">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2" w:history="1">
        <w:r w:rsidR="002D5971" w:rsidRPr="0008057D">
          <w:rPr>
            <w:rStyle w:val="Hyperlink"/>
            <w:rFonts w:asciiTheme="minorHAnsi" w:hAnsiTheme="minorHAnsi" w:cstheme="minorHAnsi"/>
            <w:noProof/>
            <w:sz w:val="22"/>
            <w:szCs w:val="22"/>
            <w:lang w:val="en-GB"/>
          </w:rPr>
          <w:t>Table 18. Core Metrics &amp; Targets (dark are required, light grey voluntary)</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_Toc171908212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33</w:t>
        </w:r>
        <w:r w:rsidR="002D5971" w:rsidRPr="0008057D">
          <w:rPr>
            <w:rFonts w:asciiTheme="minorHAnsi" w:hAnsiTheme="minorHAnsi" w:cstheme="minorHAnsi"/>
            <w:noProof/>
            <w:webHidden/>
            <w:sz w:val="22"/>
            <w:szCs w:val="22"/>
          </w:rPr>
          <w:fldChar w:fldCharType="end"/>
        </w:r>
      </w:hyperlink>
    </w:p>
    <w:p w14:paraId="21250DB4" w14:textId="7BFE01B2" w:rsidR="009F5B6E" w:rsidRPr="0008057D" w:rsidRDefault="006C78A6" w:rsidP="00616282">
      <w:pPr>
        <w:rPr>
          <w:rFonts w:asciiTheme="minorHAnsi" w:hAnsiTheme="minorHAnsi" w:cstheme="minorHAnsi"/>
          <w:lang w:val="en-GB"/>
        </w:rPr>
      </w:pPr>
      <w:r w:rsidRPr="0008057D">
        <w:rPr>
          <w:rFonts w:asciiTheme="minorHAnsi" w:hAnsiTheme="minorHAnsi" w:cstheme="minorHAnsi"/>
          <w:sz w:val="22"/>
          <w:szCs w:val="22"/>
          <w:lang w:val="en-GB"/>
        </w:rPr>
        <w:fldChar w:fldCharType="end"/>
      </w:r>
    </w:p>
    <w:p w14:paraId="0BD706C4" w14:textId="77777777" w:rsidR="00524B33" w:rsidRPr="0008057D" w:rsidRDefault="00524B33">
      <w:pPr>
        <w:rPr>
          <w:rFonts w:asciiTheme="minorHAnsi" w:hAnsiTheme="minorHAnsi" w:cstheme="minorHAnsi"/>
          <w:b/>
          <w:bCs/>
          <w:lang w:val="en-GB"/>
        </w:rPr>
      </w:pPr>
      <w:bookmarkStart w:id="2" w:name="_Toc167079283"/>
      <w:bookmarkStart w:id="3" w:name="_Toc167079473"/>
      <w:r w:rsidRPr="0008057D">
        <w:rPr>
          <w:rFonts w:asciiTheme="minorHAnsi" w:hAnsiTheme="minorHAnsi" w:cstheme="minorHAnsi"/>
          <w:b/>
          <w:bCs/>
          <w:lang w:val="en-GB"/>
        </w:rPr>
        <w:br w:type="page"/>
      </w:r>
    </w:p>
    <w:p w14:paraId="13DC6E0E" w14:textId="3FD5E5A0" w:rsidR="006C78A6" w:rsidRPr="0008057D" w:rsidRDefault="00BE32C1" w:rsidP="00616282">
      <w:pPr>
        <w:rPr>
          <w:rFonts w:asciiTheme="minorHAnsi" w:hAnsiTheme="minorHAnsi" w:cstheme="minorHAnsi"/>
          <w:b/>
          <w:bCs/>
          <w:lang w:val="en-GB"/>
        </w:rPr>
      </w:pPr>
      <w:r w:rsidRPr="0008057D">
        <w:rPr>
          <w:rFonts w:asciiTheme="minorHAnsi" w:hAnsiTheme="minorHAnsi" w:cstheme="minorHAnsi"/>
          <w:b/>
          <w:bCs/>
          <w:lang w:val="en-GB"/>
        </w:rPr>
        <w:lastRenderedPageBreak/>
        <w:t>List of Figures</w:t>
      </w:r>
      <w:bookmarkEnd w:id="2"/>
      <w:bookmarkEnd w:id="3"/>
    </w:p>
    <w:p w14:paraId="08ED81AB" w14:textId="77777777" w:rsidR="006C78A6" w:rsidRPr="0008057D" w:rsidRDefault="006C78A6" w:rsidP="00616282">
      <w:pPr>
        <w:rPr>
          <w:rFonts w:asciiTheme="minorHAnsi" w:hAnsiTheme="minorHAnsi" w:cstheme="minorHAnsi"/>
          <w:lang w:val="en-GB"/>
        </w:rPr>
      </w:pPr>
    </w:p>
    <w:p w14:paraId="417E9D45" w14:textId="350ECF00" w:rsidR="0008057D" w:rsidRPr="0008057D" w:rsidRDefault="006C78A6">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r w:rsidRPr="0008057D">
        <w:rPr>
          <w:rFonts w:asciiTheme="minorHAnsi" w:hAnsiTheme="minorHAnsi" w:cstheme="minorHAnsi"/>
          <w:sz w:val="22"/>
          <w:szCs w:val="22"/>
          <w:lang w:val="en-GB"/>
        </w:rPr>
        <w:fldChar w:fldCharType="begin"/>
      </w:r>
      <w:r w:rsidRPr="0008057D">
        <w:rPr>
          <w:rFonts w:asciiTheme="minorHAnsi" w:hAnsiTheme="minorHAnsi" w:cstheme="minorHAnsi"/>
          <w:sz w:val="22"/>
          <w:szCs w:val="22"/>
          <w:lang w:val="en-GB"/>
        </w:rPr>
        <w:instrText xml:space="preserve"> TOC \h \z \c "Figure" </w:instrText>
      </w:r>
      <w:r w:rsidRPr="0008057D">
        <w:rPr>
          <w:rFonts w:asciiTheme="minorHAnsi" w:hAnsiTheme="minorHAnsi" w:cstheme="minorHAnsi"/>
          <w:sz w:val="22"/>
          <w:szCs w:val="22"/>
          <w:lang w:val="en-GB"/>
        </w:rPr>
        <w:fldChar w:fldCharType="separate"/>
      </w:r>
      <w:hyperlink w:anchor="_Toc175223816" w:history="1">
        <w:r w:rsidR="0008057D" w:rsidRPr="0008057D">
          <w:rPr>
            <w:rStyle w:val="Hyperlink"/>
            <w:rFonts w:asciiTheme="minorHAnsi" w:hAnsiTheme="minorHAnsi" w:cstheme="minorHAnsi"/>
            <w:noProof/>
            <w:lang w:val="en-GB"/>
          </w:rPr>
          <w:t>Figure 1. Climate change impacts on the financial industry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_Toc175223816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8</w:t>
        </w:r>
        <w:r w:rsidR="0008057D" w:rsidRPr="0008057D">
          <w:rPr>
            <w:rFonts w:asciiTheme="minorHAnsi" w:hAnsiTheme="minorHAnsi" w:cstheme="minorHAnsi"/>
            <w:noProof/>
            <w:webHidden/>
          </w:rPr>
          <w:fldChar w:fldCharType="end"/>
        </w:r>
      </w:hyperlink>
    </w:p>
    <w:p w14:paraId="3164490B" w14:textId="5C230C93"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7" w:history="1">
        <w:r w:rsidR="0008057D" w:rsidRPr="0008057D">
          <w:rPr>
            <w:rStyle w:val="Hyperlink"/>
            <w:rFonts w:asciiTheme="minorHAnsi" w:hAnsiTheme="minorHAnsi" w:cstheme="minorHAnsi"/>
            <w:noProof/>
            <w:lang w:val="en-GB"/>
          </w:rPr>
          <w:t>Figure 2. Classifying climate risks and opportunities</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_Toc175223817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11</w:t>
        </w:r>
        <w:r w:rsidR="0008057D" w:rsidRPr="0008057D">
          <w:rPr>
            <w:rFonts w:asciiTheme="minorHAnsi" w:hAnsiTheme="minorHAnsi" w:cstheme="minorHAnsi"/>
            <w:noProof/>
            <w:webHidden/>
          </w:rPr>
          <w:fldChar w:fldCharType="end"/>
        </w:r>
      </w:hyperlink>
    </w:p>
    <w:p w14:paraId="6F52F0D4" w14:textId="50C476F8"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8" w:history="1">
        <w:r w:rsidR="0008057D" w:rsidRPr="0008057D">
          <w:rPr>
            <w:rStyle w:val="Hyperlink"/>
            <w:rFonts w:asciiTheme="minorHAnsi" w:hAnsiTheme="minorHAnsi" w:cstheme="minorHAnsi"/>
            <w:noProof/>
            <w:lang w:val="en-GB"/>
          </w:rPr>
          <w:t xml:space="preserve">Figure 3: Board configurations to integrate </w:t>
        </w:r>
        <w:r w:rsidR="0008057D">
          <w:rPr>
            <w:rStyle w:val="Hyperlink"/>
            <w:rFonts w:asciiTheme="minorHAnsi" w:hAnsiTheme="minorHAnsi" w:cstheme="minorHAnsi"/>
            <w:noProof/>
            <w:lang w:val="en-GB"/>
          </w:rPr>
          <w:t>climate-related</w:t>
        </w:r>
        <w:r w:rsidR="0008057D" w:rsidRPr="0008057D">
          <w:rPr>
            <w:rStyle w:val="Hyperlink"/>
            <w:rFonts w:asciiTheme="minorHAnsi" w:hAnsiTheme="minorHAnsi" w:cstheme="minorHAnsi"/>
            <w:noProof/>
            <w:lang w:val="en-GB"/>
          </w:rPr>
          <w:t xml:space="preserve"> issues in decision making for banks</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_Toc175223818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16</w:t>
        </w:r>
        <w:r w:rsidR="0008057D" w:rsidRPr="0008057D">
          <w:rPr>
            <w:rFonts w:asciiTheme="minorHAnsi" w:hAnsiTheme="minorHAnsi" w:cstheme="minorHAnsi"/>
            <w:noProof/>
            <w:webHidden/>
          </w:rPr>
          <w:fldChar w:fldCharType="end"/>
        </w:r>
      </w:hyperlink>
    </w:p>
    <w:p w14:paraId="5BEDD9F1" w14:textId="6929541D"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9" w:history="1">
        <w:r w:rsidR="0008057D" w:rsidRPr="0008057D">
          <w:rPr>
            <w:rStyle w:val="Hyperlink"/>
            <w:rFonts w:asciiTheme="minorHAnsi" w:hAnsiTheme="minorHAnsi" w:cstheme="minorHAnsi"/>
            <w:noProof/>
            <w:lang w:val="en-GB"/>
          </w:rPr>
          <w:t>Figure 4 Good practices for integrating climate risk into the business strategy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_Toc175223819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21</w:t>
        </w:r>
        <w:r w:rsidR="0008057D" w:rsidRPr="0008057D">
          <w:rPr>
            <w:rFonts w:asciiTheme="minorHAnsi" w:hAnsiTheme="minorHAnsi" w:cstheme="minorHAnsi"/>
            <w:noProof/>
            <w:webHidden/>
          </w:rPr>
          <w:fldChar w:fldCharType="end"/>
        </w:r>
      </w:hyperlink>
    </w:p>
    <w:p w14:paraId="4ECEE62A" w14:textId="4150EF1D"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0" w:history="1">
        <w:r w:rsidR="0008057D" w:rsidRPr="0008057D">
          <w:rPr>
            <w:rStyle w:val="Hyperlink"/>
            <w:rFonts w:asciiTheme="minorHAnsi" w:hAnsiTheme="minorHAnsi" w:cstheme="minorHAnsi"/>
            <w:noProof/>
            <w:lang w:val="en-GB"/>
          </w:rPr>
          <w:t>Figure 5. BBVA heatmap of transition and physical risks in the short, medium, and long term</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_Toc175223820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23</w:t>
        </w:r>
        <w:r w:rsidR="0008057D" w:rsidRPr="0008057D">
          <w:rPr>
            <w:rFonts w:asciiTheme="minorHAnsi" w:hAnsiTheme="minorHAnsi" w:cstheme="minorHAnsi"/>
            <w:noProof/>
            <w:webHidden/>
          </w:rPr>
          <w:fldChar w:fldCharType="end"/>
        </w:r>
      </w:hyperlink>
    </w:p>
    <w:p w14:paraId="7260BD82" w14:textId="5535A308"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1" w:history="1">
        <w:r w:rsidR="0008057D" w:rsidRPr="0008057D">
          <w:rPr>
            <w:rStyle w:val="Hyperlink"/>
            <w:rFonts w:asciiTheme="minorHAnsi" w:hAnsiTheme="minorHAnsi" w:cstheme="minorHAnsi"/>
            <w:noProof/>
            <w:lang w:val="en-GB"/>
          </w:rPr>
          <w:t>Figure 6. Citi exposure and heatmap of transition and physical risks</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_Toc175223821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23</w:t>
        </w:r>
        <w:r w:rsidR="0008057D" w:rsidRPr="0008057D">
          <w:rPr>
            <w:rFonts w:asciiTheme="minorHAnsi" w:hAnsiTheme="minorHAnsi" w:cstheme="minorHAnsi"/>
            <w:noProof/>
            <w:webHidden/>
          </w:rPr>
          <w:fldChar w:fldCharType="end"/>
        </w:r>
      </w:hyperlink>
    </w:p>
    <w:p w14:paraId="045325C8" w14:textId="2542E83F"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2" w:history="1">
        <w:r w:rsidR="0008057D" w:rsidRPr="0008057D">
          <w:rPr>
            <w:rStyle w:val="Hyperlink"/>
            <w:rFonts w:asciiTheme="minorHAnsi" w:hAnsiTheme="minorHAnsi" w:cstheme="minorHAnsi"/>
            <w:noProof/>
            <w:lang w:val="en-GB"/>
          </w:rPr>
          <w:t>Figure 7. ING Power generation decarbonization pathway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_Toc175223822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24</w:t>
        </w:r>
        <w:r w:rsidR="0008057D" w:rsidRPr="0008057D">
          <w:rPr>
            <w:rFonts w:asciiTheme="minorHAnsi" w:hAnsiTheme="minorHAnsi" w:cstheme="minorHAnsi"/>
            <w:noProof/>
            <w:webHidden/>
          </w:rPr>
          <w:fldChar w:fldCharType="end"/>
        </w:r>
      </w:hyperlink>
    </w:p>
    <w:p w14:paraId="04DD1F62" w14:textId="7D89D835"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3" w:history="1">
        <w:r w:rsidR="0008057D" w:rsidRPr="0008057D">
          <w:rPr>
            <w:rStyle w:val="Hyperlink"/>
            <w:rFonts w:asciiTheme="minorHAnsi" w:hAnsiTheme="minorHAnsi" w:cstheme="minorHAnsi"/>
            <w:noProof/>
            <w:lang w:val="en-GB"/>
          </w:rPr>
          <w:t>Figure 8. ING Cement decarbonization pathway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_Toc175223823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24</w:t>
        </w:r>
        <w:r w:rsidR="0008057D" w:rsidRPr="0008057D">
          <w:rPr>
            <w:rFonts w:asciiTheme="minorHAnsi" w:hAnsiTheme="minorHAnsi" w:cstheme="minorHAnsi"/>
            <w:noProof/>
            <w:webHidden/>
          </w:rPr>
          <w:fldChar w:fldCharType="end"/>
        </w:r>
      </w:hyperlink>
    </w:p>
    <w:p w14:paraId="3209AF25" w14:textId="0B7D3BE4"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4" w:history="1">
        <w:r w:rsidR="0008057D" w:rsidRPr="0008057D">
          <w:rPr>
            <w:rStyle w:val="Hyperlink"/>
            <w:rFonts w:asciiTheme="minorHAnsi" w:hAnsiTheme="minorHAnsi" w:cstheme="minorHAnsi"/>
            <w:noProof/>
            <w:lang w:val="en-GB"/>
          </w:rPr>
          <w:t>Figure 9. Overview of TD Bank Climate Transition Plan</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_Toc175223824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25</w:t>
        </w:r>
        <w:r w:rsidR="0008057D" w:rsidRPr="0008057D">
          <w:rPr>
            <w:rFonts w:asciiTheme="minorHAnsi" w:hAnsiTheme="minorHAnsi" w:cstheme="minorHAnsi"/>
            <w:noProof/>
            <w:webHidden/>
          </w:rPr>
          <w:fldChar w:fldCharType="end"/>
        </w:r>
      </w:hyperlink>
    </w:p>
    <w:p w14:paraId="3890EF4A" w14:textId="7120420C"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5" w:history="1">
        <w:r w:rsidR="0008057D" w:rsidRPr="0008057D">
          <w:rPr>
            <w:rStyle w:val="Hyperlink"/>
            <w:rFonts w:asciiTheme="minorHAnsi" w:hAnsiTheme="minorHAnsi" w:cstheme="minorHAnsi"/>
            <w:noProof/>
            <w:lang w:val="en-GB"/>
          </w:rPr>
          <w:t>Figure 10: Climate Risk Management Process (explanatory)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_Toc175223825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28</w:t>
        </w:r>
        <w:r w:rsidR="0008057D" w:rsidRPr="0008057D">
          <w:rPr>
            <w:rFonts w:asciiTheme="minorHAnsi" w:hAnsiTheme="minorHAnsi" w:cstheme="minorHAnsi"/>
            <w:noProof/>
            <w:webHidden/>
          </w:rPr>
          <w:fldChar w:fldCharType="end"/>
        </w:r>
      </w:hyperlink>
    </w:p>
    <w:p w14:paraId="2B38C359" w14:textId="7E912567"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6" w:history="1">
        <w:r w:rsidR="0008057D" w:rsidRPr="0008057D">
          <w:rPr>
            <w:rStyle w:val="Hyperlink"/>
            <w:rFonts w:asciiTheme="minorHAnsi" w:hAnsiTheme="minorHAnsi" w:cstheme="minorHAnsi"/>
            <w:noProof/>
            <w:lang w:val="en-GB"/>
          </w:rPr>
          <w:t>Figure 11: List of data items collected to inform risk assessment during due diligence.</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_Toc175223826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29</w:t>
        </w:r>
        <w:r w:rsidR="0008057D" w:rsidRPr="0008057D">
          <w:rPr>
            <w:rFonts w:asciiTheme="minorHAnsi" w:hAnsiTheme="minorHAnsi" w:cstheme="minorHAnsi"/>
            <w:noProof/>
            <w:webHidden/>
          </w:rPr>
          <w:fldChar w:fldCharType="end"/>
        </w:r>
      </w:hyperlink>
    </w:p>
    <w:p w14:paraId="3BAB0287" w14:textId="51D7F2E3"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7" w:history="1">
        <w:r w:rsidR="0008057D" w:rsidRPr="0008057D">
          <w:rPr>
            <w:rStyle w:val="Hyperlink"/>
            <w:rFonts w:asciiTheme="minorHAnsi" w:hAnsiTheme="minorHAnsi" w:cstheme="minorHAnsi"/>
            <w:noProof/>
            <w:lang w:val="en-GB"/>
          </w:rPr>
          <w:t>Figure 12. TD Bank engagement topics for power and energy sector</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_Toc175223827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30</w:t>
        </w:r>
        <w:r w:rsidR="0008057D" w:rsidRPr="0008057D">
          <w:rPr>
            <w:rFonts w:asciiTheme="minorHAnsi" w:hAnsiTheme="minorHAnsi" w:cstheme="minorHAnsi"/>
            <w:noProof/>
            <w:webHidden/>
          </w:rPr>
          <w:fldChar w:fldCharType="end"/>
        </w:r>
      </w:hyperlink>
    </w:p>
    <w:p w14:paraId="2A8CBCAD" w14:textId="2C925DCC"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8" w:history="1">
        <w:r w:rsidR="0008057D" w:rsidRPr="0008057D">
          <w:rPr>
            <w:rStyle w:val="Hyperlink"/>
            <w:rFonts w:asciiTheme="minorHAnsi" w:hAnsiTheme="minorHAnsi" w:cstheme="minorHAnsi"/>
            <w:noProof/>
            <w:lang w:val="en-GB"/>
          </w:rPr>
          <w:t>Figure 13. BNP Paribas ESG assessment tool to identify, assess and monitor the performance and ESG risks of corporate clients by sector</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_Toc175223828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30</w:t>
        </w:r>
        <w:r w:rsidR="0008057D" w:rsidRPr="0008057D">
          <w:rPr>
            <w:rFonts w:asciiTheme="minorHAnsi" w:hAnsiTheme="minorHAnsi" w:cstheme="minorHAnsi"/>
            <w:noProof/>
            <w:webHidden/>
          </w:rPr>
          <w:fldChar w:fldCharType="end"/>
        </w:r>
      </w:hyperlink>
    </w:p>
    <w:p w14:paraId="742F0532" w14:textId="591D2619"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9" w:history="1">
        <w:r w:rsidR="0008057D" w:rsidRPr="0008057D">
          <w:rPr>
            <w:rStyle w:val="Hyperlink"/>
            <w:rFonts w:asciiTheme="minorHAnsi" w:hAnsiTheme="minorHAnsi" w:cstheme="minorHAnsi"/>
            <w:noProof/>
            <w:lang w:val="en-GB"/>
          </w:rPr>
          <w:t>Figure 14. NatWest Sample of Financed Emissions and Carbon Intensity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_Toc175223829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32</w:t>
        </w:r>
        <w:r w:rsidR="0008057D" w:rsidRPr="0008057D">
          <w:rPr>
            <w:rFonts w:asciiTheme="minorHAnsi" w:hAnsiTheme="minorHAnsi" w:cstheme="minorHAnsi"/>
            <w:noProof/>
            <w:webHidden/>
          </w:rPr>
          <w:fldChar w:fldCharType="end"/>
        </w:r>
      </w:hyperlink>
    </w:p>
    <w:p w14:paraId="4AE752E3" w14:textId="419DB088" w:rsidR="0008057D" w:rsidRPr="0008057D" w:rsidRDefault="00000000">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30" w:history="1">
        <w:r w:rsidR="0008057D" w:rsidRPr="0008057D">
          <w:rPr>
            <w:rStyle w:val="Hyperlink"/>
            <w:rFonts w:asciiTheme="minorHAnsi" w:hAnsiTheme="minorHAnsi" w:cstheme="minorHAnsi"/>
            <w:noProof/>
            <w:lang w:val="en-GB"/>
          </w:rPr>
          <w:t>Figure 15. Barclays’ green financing commitments and progress toward 2030 goal</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_Toc175223830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33</w:t>
        </w:r>
        <w:r w:rsidR="0008057D" w:rsidRPr="0008057D">
          <w:rPr>
            <w:rFonts w:asciiTheme="minorHAnsi" w:hAnsiTheme="minorHAnsi" w:cstheme="minorHAnsi"/>
            <w:noProof/>
            <w:webHidden/>
          </w:rPr>
          <w:fldChar w:fldCharType="end"/>
        </w:r>
      </w:hyperlink>
    </w:p>
    <w:p w14:paraId="7FB2D8F7" w14:textId="2763B4E5" w:rsidR="006C78A6" w:rsidRPr="0008057D" w:rsidRDefault="006C78A6" w:rsidP="006F183D">
      <w:pPr>
        <w:spacing w:line="276" w:lineRule="auto"/>
        <w:outlineLvl w:val="0"/>
        <w:rPr>
          <w:rFonts w:asciiTheme="minorHAnsi" w:hAnsiTheme="minorHAnsi" w:cstheme="minorHAnsi"/>
          <w:lang w:val="en-GB"/>
        </w:rPr>
      </w:pPr>
      <w:r w:rsidRPr="0008057D">
        <w:rPr>
          <w:rFonts w:asciiTheme="minorHAnsi" w:hAnsiTheme="minorHAnsi" w:cstheme="minorHAnsi"/>
          <w:sz w:val="22"/>
          <w:szCs w:val="22"/>
          <w:lang w:val="en-GB"/>
        </w:rPr>
        <w:fldChar w:fldCharType="end"/>
      </w:r>
    </w:p>
    <w:p w14:paraId="1DD44105" w14:textId="07C8CCD8" w:rsidR="006E54D9" w:rsidRPr="0008057D" w:rsidRDefault="006E54D9">
      <w:pPr>
        <w:rPr>
          <w:rFonts w:asciiTheme="minorHAnsi" w:hAnsiTheme="minorHAnsi" w:cstheme="minorHAnsi"/>
          <w:b/>
          <w:lang w:val="en-GB"/>
        </w:rPr>
      </w:pPr>
      <w:r w:rsidRPr="0008057D">
        <w:rPr>
          <w:rFonts w:asciiTheme="minorHAnsi" w:hAnsiTheme="minorHAnsi" w:cstheme="minorHAnsi"/>
          <w:b/>
          <w:lang w:val="en-GB"/>
        </w:rPr>
        <w:br w:type="page"/>
      </w:r>
    </w:p>
    <w:p w14:paraId="3D673570" w14:textId="4477B3EF" w:rsidR="006C78A6" w:rsidRDefault="00613B98" w:rsidP="009F39C3">
      <w:pPr>
        <w:outlineLvl w:val="0"/>
        <w:rPr>
          <w:rFonts w:ascii="Calibri" w:hAnsi="Calibri" w:cs="Calibri"/>
          <w:b/>
          <w:lang w:val="en-GB"/>
        </w:rPr>
      </w:pPr>
      <w:bookmarkStart w:id="4" w:name="_Toc171908176"/>
      <w:r w:rsidRPr="00613B98">
        <w:rPr>
          <w:rFonts w:ascii="Calibri" w:hAnsi="Calibri" w:cs="Calibri"/>
          <w:b/>
          <w:lang w:val="en-GB"/>
        </w:rPr>
        <w:lastRenderedPageBreak/>
        <w:t>List of abbreviations</w:t>
      </w:r>
      <w:bookmarkEnd w:id="4"/>
    </w:p>
    <w:p w14:paraId="5647AE81" w14:textId="77777777" w:rsidR="00B7558A" w:rsidRPr="00B7558A" w:rsidRDefault="00B7558A" w:rsidP="00B7558A">
      <w:pPr>
        <w:rPr>
          <w:rFonts w:asciiTheme="minorHAnsi" w:hAnsiTheme="minorHAnsi" w:cstheme="minorHAnsi"/>
          <w:lang w:val="en-GB"/>
        </w:rPr>
      </w:pPr>
    </w:p>
    <w:p w14:paraId="431E5A3F" w14:textId="77777777" w:rsidR="00B7558A" w:rsidRPr="0058194F" w:rsidRDefault="00B7558A" w:rsidP="0058194F">
      <w:pPr>
        <w:rPr>
          <w:rFonts w:ascii="Calibri" w:hAnsi="Calibri" w:cs="Calibri"/>
          <w:lang w:val="en-GB"/>
        </w:rPr>
      </w:pPr>
      <w:r w:rsidRPr="0058194F">
        <w:rPr>
          <w:rFonts w:ascii="Calibri" w:hAnsi="Calibri" w:cs="Calibri"/>
          <w:lang w:val="en-GB"/>
        </w:rPr>
        <w:t>BCBS</w:t>
      </w:r>
      <w:r w:rsidRPr="0058194F">
        <w:rPr>
          <w:rFonts w:ascii="Calibri" w:hAnsi="Calibri" w:cs="Calibri"/>
          <w:lang w:val="en-GB"/>
        </w:rPr>
        <w:tab/>
      </w:r>
      <w:r w:rsidRPr="0058194F">
        <w:rPr>
          <w:rFonts w:ascii="Calibri" w:hAnsi="Calibri" w:cs="Calibri"/>
          <w:lang w:val="en-GB"/>
        </w:rPr>
        <w:tab/>
        <w:t>Basel Committee on Banking Supervision</w:t>
      </w:r>
    </w:p>
    <w:p w14:paraId="7E78FD06" w14:textId="77777777" w:rsidR="00B7558A" w:rsidRPr="0058194F" w:rsidRDefault="00B7558A" w:rsidP="0058194F">
      <w:pPr>
        <w:rPr>
          <w:rFonts w:ascii="Calibri" w:hAnsi="Calibri" w:cs="Calibri"/>
          <w:lang w:val="en-GB"/>
        </w:rPr>
      </w:pPr>
    </w:p>
    <w:p w14:paraId="028FBCBB" w14:textId="77777777" w:rsidR="00B7558A" w:rsidRPr="0058194F" w:rsidRDefault="00B7558A" w:rsidP="0058194F">
      <w:pPr>
        <w:rPr>
          <w:rFonts w:ascii="Calibri" w:hAnsi="Calibri" w:cs="Calibri"/>
          <w:lang w:val="en-GB"/>
        </w:rPr>
      </w:pPr>
      <w:r w:rsidRPr="0058194F">
        <w:rPr>
          <w:rFonts w:ascii="Calibri" w:hAnsi="Calibri" w:cs="Calibri"/>
          <w:lang w:val="en-GB"/>
        </w:rPr>
        <w:t xml:space="preserve">CBK </w:t>
      </w:r>
      <w:r w:rsidRPr="0058194F">
        <w:rPr>
          <w:rFonts w:ascii="Calibri" w:hAnsi="Calibri" w:cs="Calibri"/>
          <w:lang w:val="en-GB"/>
        </w:rPr>
        <w:tab/>
      </w:r>
      <w:r w:rsidRPr="0058194F">
        <w:rPr>
          <w:rFonts w:ascii="Calibri" w:hAnsi="Calibri" w:cs="Calibri"/>
          <w:lang w:val="en-GB"/>
        </w:rPr>
        <w:tab/>
        <w:t>Central Bank of Kenya</w:t>
      </w:r>
    </w:p>
    <w:p w14:paraId="5F47F4A0" w14:textId="77777777" w:rsidR="00B7558A" w:rsidRPr="0058194F" w:rsidRDefault="00B7558A" w:rsidP="0058194F">
      <w:pPr>
        <w:rPr>
          <w:rFonts w:ascii="Calibri" w:hAnsi="Calibri" w:cs="Calibri"/>
          <w:lang w:val="en-GB"/>
        </w:rPr>
      </w:pPr>
    </w:p>
    <w:p w14:paraId="66807BC9" w14:textId="77777777" w:rsidR="00B7558A" w:rsidRPr="0058194F" w:rsidRDefault="00B7558A" w:rsidP="0058194F">
      <w:pPr>
        <w:rPr>
          <w:rFonts w:ascii="Calibri" w:hAnsi="Calibri" w:cs="Calibri"/>
          <w:lang w:val="en-GB"/>
        </w:rPr>
      </w:pPr>
      <w:r w:rsidRPr="0058194F">
        <w:rPr>
          <w:rFonts w:ascii="Calibri" w:hAnsi="Calibri" w:cs="Calibri"/>
          <w:lang w:val="en-GB"/>
        </w:rPr>
        <w:t>ECB</w:t>
      </w:r>
      <w:r w:rsidRPr="0058194F">
        <w:rPr>
          <w:rFonts w:ascii="Calibri" w:hAnsi="Calibri" w:cs="Calibri"/>
          <w:lang w:val="en-GB"/>
        </w:rPr>
        <w:tab/>
      </w:r>
      <w:r w:rsidRPr="0058194F">
        <w:rPr>
          <w:rFonts w:ascii="Calibri" w:hAnsi="Calibri" w:cs="Calibri"/>
          <w:lang w:val="en-GB"/>
        </w:rPr>
        <w:tab/>
        <w:t>European Central Bank</w:t>
      </w:r>
    </w:p>
    <w:p w14:paraId="6A19C0CF" w14:textId="77777777" w:rsidR="00B7558A" w:rsidRPr="0058194F" w:rsidRDefault="00B7558A" w:rsidP="0058194F">
      <w:pPr>
        <w:rPr>
          <w:rFonts w:ascii="Calibri" w:hAnsi="Calibri" w:cs="Calibri"/>
          <w:lang w:val="en-GB"/>
        </w:rPr>
      </w:pPr>
    </w:p>
    <w:p w14:paraId="7906A986" w14:textId="77777777" w:rsidR="00B7558A" w:rsidRPr="0058194F" w:rsidRDefault="00B7558A" w:rsidP="0058194F">
      <w:pPr>
        <w:rPr>
          <w:rFonts w:ascii="Calibri" w:hAnsi="Calibri" w:cs="Calibri"/>
          <w:lang w:val="en-GB"/>
        </w:rPr>
      </w:pPr>
      <w:r w:rsidRPr="0058194F">
        <w:rPr>
          <w:rFonts w:ascii="Calibri" w:hAnsi="Calibri" w:cs="Calibri"/>
          <w:lang w:val="en-GB"/>
        </w:rPr>
        <w:t>ESG</w:t>
      </w:r>
      <w:r w:rsidRPr="0058194F">
        <w:rPr>
          <w:rFonts w:ascii="Calibri" w:hAnsi="Calibri" w:cs="Calibri"/>
          <w:lang w:val="en-GB"/>
        </w:rPr>
        <w:tab/>
      </w:r>
      <w:r w:rsidRPr="0058194F">
        <w:rPr>
          <w:rFonts w:ascii="Calibri" w:hAnsi="Calibri" w:cs="Calibri"/>
          <w:lang w:val="en-GB"/>
        </w:rPr>
        <w:tab/>
        <w:t>Environmental, Social, and Governance</w:t>
      </w:r>
    </w:p>
    <w:p w14:paraId="0FA28234" w14:textId="77777777" w:rsidR="00B7558A" w:rsidRPr="0058194F" w:rsidRDefault="00B7558A" w:rsidP="0058194F">
      <w:pPr>
        <w:rPr>
          <w:rFonts w:ascii="Calibri" w:hAnsi="Calibri" w:cs="Calibri"/>
          <w:lang w:val="en-GB"/>
        </w:rPr>
      </w:pPr>
    </w:p>
    <w:p w14:paraId="6869B691" w14:textId="77777777" w:rsidR="00B7558A" w:rsidRPr="0058194F" w:rsidRDefault="00B7558A" w:rsidP="0058194F">
      <w:pPr>
        <w:rPr>
          <w:rFonts w:ascii="Calibri" w:hAnsi="Calibri" w:cs="Calibri"/>
          <w:lang w:val="en-GB"/>
        </w:rPr>
      </w:pPr>
      <w:r w:rsidRPr="0058194F">
        <w:rPr>
          <w:rFonts w:ascii="Calibri" w:hAnsi="Calibri" w:cs="Calibri"/>
          <w:lang w:val="en-GB"/>
        </w:rPr>
        <w:t>GHG</w:t>
      </w:r>
      <w:r w:rsidRPr="0058194F">
        <w:rPr>
          <w:rFonts w:ascii="Calibri" w:hAnsi="Calibri" w:cs="Calibri"/>
          <w:lang w:val="en-GB"/>
        </w:rPr>
        <w:tab/>
      </w:r>
      <w:r w:rsidRPr="0058194F">
        <w:rPr>
          <w:rFonts w:ascii="Calibri" w:hAnsi="Calibri" w:cs="Calibri"/>
          <w:lang w:val="en-GB"/>
        </w:rPr>
        <w:tab/>
        <w:t>Greenhouse Gas</w:t>
      </w:r>
    </w:p>
    <w:p w14:paraId="3A8DC2ED" w14:textId="77777777" w:rsidR="00B7558A" w:rsidRPr="0058194F" w:rsidRDefault="00B7558A" w:rsidP="0058194F">
      <w:pPr>
        <w:rPr>
          <w:rFonts w:ascii="Calibri" w:hAnsi="Calibri" w:cs="Calibri"/>
          <w:lang w:val="en-GB"/>
        </w:rPr>
      </w:pPr>
    </w:p>
    <w:p w14:paraId="6B7BC74D" w14:textId="77777777" w:rsidR="00B7558A" w:rsidRPr="0058194F" w:rsidRDefault="00B7558A" w:rsidP="0058194F">
      <w:pPr>
        <w:rPr>
          <w:rFonts w:ascii="Calibri" w:hAnsi="Calibri" w:cs="Calibri"/>
          <w:lang w:val="en-GB"/>
        </w:rPr>
      </w:pPr>
      <w:r w:rsidRPr="0058194F">
        <w:rPr>
          <w:rFonts w:ascii="Calibri" w:hAnsi="Calibri" w:cs="Calibri"/>
          <w:lang w:val="en-GB"/>
        </w:rPr>
        <w:t>IFRS</w:t>
      </w:r>
      <w:r w:rsidRPr="0058194F">
        <w:rPr>
          <w:rFonts w:ascii="Calibri" w:hAnsi="Calibri" w:cs="Calibri"/>
          <w:lang w:val="en-GB"/>
        </w:rPr>
        <w:tab/>
      </w:r>
      <w:r w:rsidRPr="0058194F">
        <w:rPr>
          <w:rFonts w:ascii="Calibri" w:hAnsi="Calibri" w:cs="Calibri"/>
          <w:lang w:val="en-GB"/>
        </w:rPr>
        <w:tab/>
        <w:t>International Financial Reporting Standards</w:t>
      </w:r>
    </w:p>
    <w:p w14:paraId="0699C093" w14:textId="77777777" w:rsidR="00B7558A" w:rsidRPr="0058194F" w:rsidRDefault="00B7558A" w:rsidP="0058194F">
      <w:pPr>
        <w:rPr>
          <w:rFonts w:ascii="Calibri" w:hAnsi="Calibri" w:cs="Calibri"/>
          <w:lang w:val="en-GB"/>
        </w:rPr>
      </w:pPr>
    </w:p>
    <w:p w14:paraId="537D7495" w14:textId="77777777" w:rsidR="00B7558A" w:rsidRPr="0058194F" w:rsidRDefault="00B7558A" w:rsidP="0058194F">
      <w:pPr>
        <w:rPr>
          <w:rFonts w:ascii="Calibri" w:hAnsi="Calibri" w:cs="Calibri"/>
          <w:lang w:val="en-GB"/>
        </w:rPr>
      </w:pPr>
      <w:r w:rsidRPr="0058194F">
        <w:rPr>
          <w:rFonts w:ascii="Calibri" w:hAnsi="Calibri" w:cs="Calibri"/>
          <w:lang w:val="en-GB"/>
        </w:rPr>
        <w:t>KCRI</w:t>
      </w:r>
      <w:r w:rsidRPr="0058194F">
        <w:rPr>
          <w:rFonts w:ascii="Calibri" w:hAnsi="Calibri" w:cs="Calibri"/>
          <w:lang w:val="en-GB"/>
        </w:rPr>
        <w:tab/>
      </w:r>
      <w:r w:rsidRPr="0058194F">
        <w:rPr>
          <w:rFonts w:ascii="Calibri" w:hAnsi="Calibri" w:cs="Calibri"/>
          <w:lang w:val="en-GB"/>
        </w:rPr>
        <w:tab/>
        <w:t>Key Climate Risk Indicator</w:t>
      </w:r>
    </w:p>
    <w:p w14:paraId="0EEE6647" w14:textId="77777777" w:rsidR="00B7558A" w:rsidRPr="0058194F" w:rsidRDefault="00B7558A" w:rsidP="0058194F">
      <w:pPr>
        <w:rPr>
          <w:rFonts w:ascii="Calibri" w:hAnsi="Calibri" w:cs="Calibri"/>
          <w:lang w:val="en-GB"/>
        </w:rPr>
      </w:pPr>
    </w:p>
    <w:p w14:paraId="6AD665B7" w14:textId="77777777" w:rsidR="00B7558A" w:rsidRPr="0058194F" w:rsidRDefault="00B7558A" w:rsidP="0058194F">
      <w:pPr>
        <w:rPr>
          <w:rFonts w:ascii="Calibri" w:hAnsi="Calibri" w:cs="Calibri"/>
          <w:lang w:val="en-GB"/>
        </w:rPr>
      </w:pPr>
      <w:r w:rsidRPr="0058194F">
        <w:rPr>
          <w:rFonts w:ascii="Calibri" w:hAnsi="Calibri" w:cs="Calibri"/>
          <w:lang w:val="en-GB"/>
        </w:rPr>
        <w:t>KPI</w:t>
      </w:r>
      <w:r w:rsidRPr="0058194F">
        <w:rPr>
          <w:rFonts w:ascii="Calibri" w:hAnsi="Calibri" w:cs="Calibri"/>
          <w:lang w:val="en-GB"/>
        </w:rPr>
        <w:tab/>
      </w:r>
      <w:r w:rsidRPr="0058194F">
        <w:rPr>
          <w:rFonts w:ascii="Calibri" w:hAnsi="Calibri" w:cs="Calibri"/>
          <w:lang w:val="en-GB"/>
        </w:rPr>
        <w:tab/>
        <w:t>Key Performance Indicator</w:t>
      </w:r>
    </w:p>
    <w:p w14:paraId="3E0918F6" w14:textId="77777777" w:rsidR="00B7558A" w:rsidRPr="0058194F" w:rsidRDefault="00B7558A" w:rsidP="0058194F">
      <w:pPr>
        <w:rPr>
          <w:rFonts w:ascii="Calibri" w:hAnsi="Calibri" w:cs="Calibri"/>
          <w:lang w:val="en-GB"/>
        </w:rPr>
      </w:pPr>
    </w:p>
    <w:p w14:paraId="7E0F7C64" w14:textId="15C6B018" w:rsidR="00B7558A" w:rsidRPr="0058194F" w:rsidRDefault="00B7558A" w:rsidP="0058194F">
      <w:pPr>
        <w:rPr>
          <w:rFonts w:ascii="Calibri" w:hAnsi="Calibri" w:cs="Calibri"/>
          <w:lang w:val="en-GB"/>
        </w:rPr>
      </w:pPr>
      <w:r w:rsidRPr="0058194F">
        <w:rPr>
          <w:rFonts w:ascii="Calibri" w:hAnsi="Calibri" w:cs="Calibri"/>
          <w:lang w:val="en-GB"/>
        </w:rPr>
        <w:t>KCRI</w:t>
      </w:r>
      <w:r w:rsidRPr="0058194F">
        <w:rPr>
          <w:rFonts w:ascii="Calibri" w:hAnsi="Calibri" w:cs="Calibri"/>
          <w:lang w:val="en-GB"/>
        </w:rPr>
        <w:tab/>
      </w:r>
      <w:r w:rsidRPr="0058194F">
        <w:rPr>
          <w:rFonts w:ascii="Calibri" w:hAnsi="Calibri" w:cs="Calibri"/>
          <w:lang w:val="en-GB"/>
        </w:rPr>
        <w:tab/>
        <w:t>Key Climate Risk Indicator</w:t>
      </w:r>
    </w:p>
    <w:p w14:paraId="3323FF2A" w14:textId="77777777" w:rsidR="00B7558A" w:rsidRPr="0058194F" w:rsidRDefault="00B7558A" w:rsidP="0058194F">
      <w:pPr>
        <w:rPr>
          <w:rFonts w:ascii="Calibri" w:hAnsi="Calibri" w:cs="Calibri"/>
          <w:lang w:val="en-GB"/>
        </w:rPr>
      </w:pPr>
    </w:p>
    <w:p w14:paraId="0700CB66" w14:textId="77777777" w:rsidR="00B7558A" w:rsidRPr="0058194F" w:rsidRDefault="00B7558A" w:rsidP="0058194F">
      <w:pPr>
        <w:rPr>
          <w:rFonts w:ascii="Calibri" w:hAnsi="Calibri" w:cs="Calibri"/>
          <w:lang w:val="en-GB"/>
        </w:rPr>
      </w:pPr>
      <w:r w:rsidRPr="0058194F">
        <w:rPr>
          <w:rFonts w:ascii="Calibri" w:hAnsi="Calibri" w:cs="Calibri"/>
          <w:lang w:val="en-GB"/>
        </w:rPr>
        <w:t>LT-LEDS</w:t>
      </w:r>
      <w:r w:rsidRPr="0058194F">
        <w:rPr>
          <w:rFonts w:ascii="Calibri" w:hAnsi="Calibri" w:cs="Calibri"/>
          <w:lang w:val="en-GB"/>
        </w:rPr>
        <w:tab/>
        <w:t>Long-term Low Emission Development Strategies</w:t>
      </w:r>
    </w:p>
    <w:p w14:paraId="4487B310" w14:textId="77777777" w:rsidR="00B7558A" w:rsidRPr="0058194F" w:rsidRDefault="00B7558A" w:rsidP="0058194F">
      <w:pPr>
        <w:rPr>
          <w:rFonts w:ascii="Calibri" w:hAnsi="Calibri" w:cs="Calibri"/>
          <w:lang w:val="en-GB"/>
        </w:rPr>
      </w:pPr>
    </w:p>
    <w:p w14:paraId="24ED50B2" w14:textId="77777777" w:rsidR="00B7558A" w:rsidRPr="0058194F" w:rsidRDefault="00B7558A" w:rsidP="0058194F">
      <w:pPr>
        <w:rPr>
          <w:rFonts w:ascii="Calibri" w:hAnsi="Calibri" w:cs="Calibri"/>
          <w:lang w:val="en-GB"/>
        </w:rPr>
      </w:pPr>
      <w:r w:rsidRPr="0058194F">
        <w:rPr>
          <w:rFonts w:ascii="Calibri" w:hAnsi="Calibri" w:cs="Calibri"/>
          <w:lang w:val="en-GB"/>
        </w:rPr>
        <w:t>NGFS</w:t>
      </w:r>
      <w:r w:rsidRPr="0058194F">
        <w:rPr>
          <w:rFonts w:ascii="Calibri" w:hAnsi="Calibri" w:cs="Calibri"/>
          <w:lang w:val="en-GB"/>
        </w:rPr>
        <w:tab/>
      </w:r>
      <w:r w:rsidRPr="0058194F">
        <w:rPr>
          <w:rFonts w:ascii="Calibri" w:hAnsi="Calibri" w:cs="Calibri"/>
          <w:lang w:val="en-GB"/>
        </w:rPr>
        <w:tab/>
        <w:t>Network for Greening the Financial System</w:t>
      </w:r>
    </w:p>
    <w:p w14:paraId="3F3D7503" w14:textId="77777777" w:rsidR="00B7558A" w:rsidRPr="0058194F" w:rsidRDefault="00B7558A" w:rsidP="0058194F">
      <w:pPr>
        <w:rPr>
          <w:rFonts w:ascii="Calibri" w:hAnsi="Calibri" w:cs="Calibri"/>
          <w:lang w:val="en-GB"/>
        </w:rPr>
      </w:pPr>
    </w:p>
    <w:p w14:paraId="33BEBE58" w14:textId="77777777" w:rsidR="00B7558A" w:rsidRPr="0058194F" w:rsidRDefault="00B7558A" w:rsidP="0058194F">
      <w:pPr>
        <w:rPr>
          <w:rFonts w:ascii="Calibri" w:hAnsi="Calibri" w:cs="Calibri"/>
          <w:lang w:val="en-GB"/>
        </w:rPr>
      </w:pPr>
      <w:r w:rsidRPr="0058194F">
        <w:rPr>
          <w:rFonts w:ascii="Calibri" w:hAnsi="Calibri" w:cs="Calibri"/>
          <w:lang w:val="en-GB"/>
        </w:rPr>
        <w:t>PCAF</w:t>
      </w:r>
      <w:r w:rsidRPr="0058194F">
        <w:rPr>
          <w:rFonts w:ascii="Calibri" w:hAnsi="Calibri" w:cs="Calibri"/>
          <w:lang w:val="en-GB"/>
        </w:rPr>
        <w:tab/>
      </w:r>
      <w:r w:rsidRPr="0058194F">
        <w:rPr>
          <w:rFonts w:ascii="Calibri" w:hAnsi="Calibri" w:cs="Calibri"/>
          <w:lang w:val="en-GB"/>
        </w:rPr>
        <w:tab/>
        <w:t>Partnership for Carbon Accounting Financials</w:t>
      </w:r>
    </w:p>
    <w:p w14:paraId="37991009" w14:textId="77777777" w:rsidR="00B7558A" w:rsidRPr="0058194F" w:rsidRDefault="00B7558A" w:rsidP="0058194F">
      <w:pPr>
        <w:rPr>
          <w:rFonts w:ascii="Calibri" w:hAnsi="Calibri" w:cs="Calibri"/>
          <w:lang w:val="en-GB"/>
        </w:rPr>
      </w:pPr>
    </w:p>
    <w:p w14:paraId="0608E97D" w14:textId="77777777" w:rsidR="00B7558A" w:rsidRPr="0058194F" w:rsidRDefault="00B7558A" w:rsidP="0058194F">
      <w:pPr>
        <w:rPr>
          <w:rFonts w:ascii="Calibri" w:hAnsi="Calibri" w:cs="Calibri"/>
          <w:lang w:val="en-GB"/>
        </w:rPr>
      </w:pPr>
      <w:r w:rsidRPr="0058194F">
        <w:rPr>
          <w:rFonts w:ascii="Calibri" w:hAnsi="Calibri" w:cs="Calibri"/>
          <w:lang w:val="en-GB"/>
        </w:rPr>
        <w:t>RCP</w:t>
      </w:r>
      <w:r w:rsidRPr="0058194F">
        <w:rPr>
          <w:rFonts w:ascii="Calibri" w:hAnsi="Calibri" w:cs="Calibri"/>
          <w:lang w:val="en-GB"/>
        </w:rPr>
        <w:tab/>
      </w:r>
      <w:r w:rsidRPr="0058194F">
        <w:rPr>
          <w:rFonts w:ascii="Calibri" w:hAnsi="Calibri" w:cs="Calibri"/>
          <w:lang w:val="en-GB"/>
        </w:rPr>
        <w:tab/>
        <w:t>Representative Concentration Pathway</w:t>
      </w:r>
    </w:p>
    <w:p w14:paraId="1EF20713" w14:textId="77777777" w:rsidR="00B7558A" w:rsidRPr="0058194F" w:rsidRDefault="00B7558A" w:rsidP="0058194F">
      <w:pPr>
        <w:rPr>
          <w:rFonts w:ascii="Calibri" w:hAnsi="Calibri" w:cs="Calibri"/>
          <w:lang w:val="en-GB"/>
        </w:rPr>
      </w:pPr>
    </w:p>
    <w:p w14:paraId="20E3EB84" w14:textId="46063340" w:rsidR="006E54D9" w:rsidRPr="0058194F" w:rsidRDefault="00B7558A" w:rsidP="0058194F">
      <w:pPr>
        <w:rPr>
          <w:rFonts w:ascii="Calibri" w:hAnsi="Calibri" w:cs="Calibri"/>
          <w:lang w:val="en-GB"/>
        </w:rPr>
      </w:pPr>
      <w:r w:rsidRPr="0058194F">
        <w:rPr>
          <w:rFonts w:ascii="Calibri" w:hAnsi="Calibri" w:cs="Calibri"/>
          <w:lang w:val="en-GB"/>
        </w:rPr>
        <w:t>SMF</w:t>
      </w:r>
      <w:r w:rsidRPr="0058194F">
        <w:rPr>
          <w:rFonts w:ascii="Calibri" w:hAnsi="Calibri" w:cs="Calibri"/>
          <w:lang w:val="en-GB"/>
        </w:rPr>
        <w:tab/>
      </w:r>
      <w:r w:rsidRPr="0058194F">
        <w:rPr>
          <w:rFonts w:ascii="Calibri" w:hAnsi="Calibri" w:cs="Calibri"/>
          <w:lang w:val="en-GB"/>
        </w:rPr>
        <w:tab/>
        <w:t>Senior Management Function</w:t>
      </w:r>
    </w:p>
    <w:p w14:paraId="1EF0AA2A" w14:textId="77777777" w:rsidR="009F5B6E" w:rsidRPr="003C4F95" w:rsidRDefault="009F5B6E" w:rsidP="00FB0DA0">
      <w:pPr>
        <w:rPr>
          <w:rFonts w:ascii="Calibri" w:hAnsi="Calibri" w:cs="Calibri"/>
          <w:b/>
          <w:bCs/>
          <w:lang w:val="en-GB"/>
        </w:rPr>
      </w:pPr>
      <w:r w:rsidRPr="003C4F95">
        <w:rPr>
          <w:rFonts w:ascii="Calibri" w:hAnsi="Calibri" w:cs="Calibri"/>
          <w:b/>
          <w:bCs/>
          <w:lang w:val="en-GB"/>
        </w:rPr>
        <w:br w:type="page"/>
      </w:r>
    </w:p>
    <w:p w14:paraId="3AD16E23" w14:textId="4B46B370" w:rsidR="007B0D18" w:rsidRPr="003C4F95" w:rsidRDefault="007B0D18" w:rsidP="007B0D18">
      <w:pPr>
        <w:pStyle w:val="Heading1"/>
        <w:pBdr>
          <w:bottom w:val="single" w:sz="8" w:space="1" w:color="2E74B5" w:themeColor="accent5" w:themeShade="BF"/>
        </w:pBdr>
        <w:rPr>
          <w:rFonts w:ascii="Calibri" w:hAnsi="Calibri" w:cs="Calibri"/>
        </w:rPr>
      </w:pPr>
      <w:bookmarkStart w:id="5" w:name="_Toc171908177"/>
      <w:bookmarkStart w:id="6" w:name="_Toc167079284"/>
      <w:bookmarkStart w:id="7" w:name="_Toc167079474"/>
      <w:r>
        <w:rPr>
          <w:rFonts w:ascii="Calibri" w:hAnsi="Calibri" w:cs="Calibri"/>
        </w:rPr>
        <w:lastRenderedPageBreak/>
        <w:t>Foreword</w:t>
      </w:r>
      <w:bookmarkEnd w:id="5"/>
    </w:p>
    <w:p w14:paraId="452F0649" w14:textId="77777777" w:rsidR="00157082" w:rsidRDefault="00157082" w:rsidP="00157082">
      <w:pPr>
        <w:autoSpaceDE w:val="0"/>
        <w:autoSpaceDN w:val="0"/>
        <w:adjustRightInd w:val="0"/>
        <w:jc w:val="both"/>
        <w:rPr>
          <w:rFonts w:asciiTheme="minorHAnsi" w:hAnsiTheme="minorHAnsi" w:cstheme="minorHAnsi"/>
          <w:sz w:val="22"/>
          <w:szCs w:val="22"/>
        </w:rPr>
      </w:pPr>
    </w:p>
    <w:p w14:paraId="59C44EEE" w14:textId="724E696A"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Climate change is the most significant challenge facing humanity today</w:t>
      </w:r>
      <w:r w:rsidRPr="00157082">
        <w:rPr>
          <w:rStyle w:val="FootnoteReference"/>
          <w:rFonts w:asciiTheme="minorHAnsi" w:hAnsiTheme="minorHAnsi" w:cstheme="minorHAnsi"/>
          <w:sz w:val="22"/>
          <w:szCs w:val="22"/>
        </w:rPr>
        <w:footnoteReference w:id="2"/>
      </w:r>
      <w:r w:rsidRPr="00157082">
        <w:rPr>
          <w:rFonts w:asciiTheme="minorHAnsi" w:hAnsiTheme="minorHAnsi" w:cstheme="minorHAnsi"/>
          <w:sz w:val="22"/>
          <w:szCs w:val="22"/>
        </w:rPr>
        <w:t>. Unpredictable weather patterns, including droughts, floods, and wildfires, trigger massive humanitarian crises and disrupt economies, health systems, and education. These consequences threaten the vision of global shared prosperity by 2030, underscoring the urgency of transitioning to a climate-resilient green economy.</w:t>
      </w:r>
    </w:p>
    <w:p w14:paraId="5B14EB75"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4C99D007" w14:textId="7E06AA50"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Kenya, alongside the global community, has recognized climate change as a pressing issue.</w:t>
      </w:r>
      <w:r w:rsidR="00EB0B1F">
        <w:rPr>
          <w:rFonts w:asciiTheme="minorHAnsi" w:hAnsiTheme="minorHAnsi" w:cstheme="minorHAnsi"/>
          <w:sz w:val="22"/>
          <w:szCs w:val="22"/>
        </w:rPr>
        <w:t xml:space="preserve"> The </w:t>
      </w:r>
      <w:r w:rsidRPr="00157082">
        <w:rPr>
          <w:rFonts w:asciiTheme="minorHAnsi" w:hAnsiTheme="minorHAnsi" w:cstheme="minorHAnsi"/>
          <w:sz w:val="22"/>
          <w:szCs w:val="22"/>
        </w:rPr>
        <w:t>Kenyan government has therefore committed to the United Nation’s 2030 Agenda for Sustainable Development and the Paris Agreement. To fulfil its climate change commitments, both government and private sector funding is necessary. The financial sector</w:t>
      </w:r>
      <w:proofErr w:type="gramStart"/>
      <w:r w:rsidRPr="00157082">
        <w:rPr>
          <w:rFonts w:asciiTheme="minorHAnsi" w:hAnsiTheme="minorHAnsi" w:cstheme="minorHAnsi"/>
          <w:sz w:val="22"/>
          <w:szCs w:val="22"/>
        </w:rPr>
        <w:t>, in particular, plays</w:t>
      </w:r>
      <w:proofErr w:type="gramEnd"/>
      <w:r w:rsidRPr="00157082">
        <w:rPr>
          <w:rFonts w:asciiTheme="minorHAnsi" w:hAnsiTheme="minorHAnsi" w:cstheme="minorHAnsi"/>
          <w:sz w:val="22"/>
          <w:szCs w:val="22"/>
        </w:rPr>
        <w:t xml:space="preserve"> a crucial role by </w:t>
      </w:r>
      <w:proofErr w:type="spellStart"/>
      <w:r w:rsidRPr="00157082">
        <w:rPr>
          <w:rFonts w:asciiTheme="minorHAnsi" w:hAnsiTheme="minorHAnsi" w:cstheme="minorHAnsi"/>
          <w:sz w:val="22"/>
          <w:szCs w:val="22"/>
        </w:rPr>
        <w:t>channelling</w:t>
      </w:r>
      <w:proofErr w:type="spellEnd"/>
      <w:r w:rsidRPr="00157082">
        <w:rPr>
          <w:rFonts w:asciiTheme="minorHAnsi" w:hAnsiTheme="minorHAnsi" w:cstheme="minorHAnsi"/>
          <w:sz w:val="22"/>
          <w:szCs w:val="22"/>
        </w:rPr>
        <w:t xml:space="preserve"> capital towards sustainable solutions. </w:t>
      </w:r>
    </w:p>
    <w:p w14:paraId="43CE854B"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64DC6589"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In recognition of the importance of the financial sector in combating climate change, the Central Bank of Kenya (CBK) issued Guidance on Climate-Related Risk Management (the Guidance) in October 2021. The Guidance was intended to facilitate banks to incorporate climate-risk related considerations in their governance, strategy, risk management and disclosures frameworks. While progress has been made, further action is needed to ensure a robust financial system that supports the decisive handling of the challenges of climate change.</w:t>
      </w:r>
    </w:p>
    <w:p w14:paraId="76302A0F"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30CA73DE"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A significant step towards global sustainability reporting came in June 2023 with the issuance of International Financial Reporting Standards (IFRS) S1 and S2 by the International Sustainability Standards Board (ISSB)</w:t>
      </w:r>
      <w:r w:rsidRPr="00157082">
        <w:rPr>
          <w:rStyle w:val="FootnoteReference"/>
          <w:rFonts w:asciiTheme="minorHAnsi" w:hAnsiTheme="minorHAnsi" w:cstheme="minorHAnsi"/>
          <w:sz w:val="22"/>
          <w:szCs w:val="22"/>
        </w:rPr>
        <w:t xml:space="preserve"> </w:t>
      </w:r>
      <w:r w:rsidRPr="00157082">
        <w:rPr>
          <w:rStyle w:val="FootnoteReference"/>
          <w:rFonts w:asciiTheme="minorHAnsi" w:hAnsiTheme="minorHAnsi" w:cstheme="minorHAnsi"/>
          <w:sz w:val="22"/>
          <w:szCs w:val="22"/>
        </w:rPr>
        <w:footnoteReference w:id="3"/>
      </w:r>
      <w:r w:rsidRPr="00157082">
        <w:rPr>
          <w:rFonts w:asciiTheme="minorHAnsi" w:hAnsiTheme="minorHAnsi" w:cstheme="minorHAnsi"/>
          <w:sz w:val="22"/>
          <w:szCs w:val="22"/>
        </w:rPr>
        <w:t>. IFRS S1</w:t>
      </w:r>
      <w:r w:rsidRPr="00157082">
        <w:rPr>
          <w:rStyle w:val="FootnoteReference"/>
          <w:rFonts w:asciiTheme="minorHAnsi" w:hAnsiTheme="minorHAnsi" w:cstheme="minorHAnsi"/>
          <w:sz w:val="22"/>
          <w:szCs w:val="22"/>
        </w:rPr>
        <w:footnoteReference w:id="4"/>
      </w:r>
      <w:r w:rsidRPr="00157082">
        <w:rPr>
          <w:rFonts w:asciiTheme="minorHAnsi" w:hAnsiTheme="minorHAnsi" w:cstheme="minorHAnsi"/>
          <w:sz w:val="22"/>
          <w:szCs w:val="22"/>
        </w:rPr>
        <w:t xml:space="preserve"> encompasses comprehensive sustainability-related risks and opportunities, including environmental, social, and governance (ESG) factors affecting financial performance. IFRS S2</w:t>
      </w:r>
      <w:r w:rsidRPr="00157082">
        <w:rPr>
          <w:rStyle w:val="FootnoteReference"/>
          <w:rFonts w:asciiTheme="minorHAnsi" w:hAnsiTheme="minorHAnsi" w:cstheme="minorHAnsi"/>
          <w:sz w:val="22"/>
          <w:szCs w:val="22"/>
        </w:rPr>
        <w:footnoteReference w:id="5"/>
      </w:r>
      <w:r w:rsidRPr="00157082">
        <w:rPr>
          <w:rFonts w:asciiTheme="minorHAnsi" w:hAnsiTheme="minorHAnsi" w:cstheme="minorHAnsi"/>
          <w:sz w:val="22"/>
          <w:szCs w:val="22"/>
        </w:rPr>
        <w:t xml:space="preserve"> specifically focuses on climate-related disclosures, in line with the recommendations of the Task Force on Climate-related Financial Disclosures (TCFD</w:t>
      </w:r>
      <w:r w:rsidRPr="00157082">
        <w:rPr>
          <w:rStyle w:val="FootnoteReference"/>
          <w:rFonts w:asciiTheme="minorHAnsi" w:hAnsiTheme="minorHAnsi" w:cstheme="minorHAnsi"/>
          <w:sz w:val="22"/>
          <w:szCs w:val="22"/>
        </w:rPr>
        <w:footnoteReference w:id="6"/>
      </w:r>
      <w:r w:rsidRPr="00157082">
        <w:rPr>
          <w:rFonts w:asciiTheme="minorHAnsi" w:hAnsiTheme="minorHAnsi" w:cstheme="minorHAnsi"/>
          <w:sz w:val="22"/>
          <w:szCs w:val="22"/>
        </w:rPr>
        <w:t>). These standards promote improved risk management, transparency, and sustainable investments, ultimately benefiting the entire economy.</w:t>
      </w:r>
    </w:p>
    <w:p w14:paraId="61CBCD35" w14:textId="77777777" w:rsidR="00157082" w:rsidRPr="00157082" w:rsidRDefault="00157082" w:rsidP="00157082">
      <w:pPr>
        <w:contextualSpacing/>
        <w:jc w:val="both"/>
        <w:rPr>
          <w:rFonts w:asciiTheme="minorHAnsi" w:hAnsiTheme="minorHAnsi" w:cstheme="minorHAnsi"/>
          <w:sz w:val="22"/>
          <w:szCs w:val="22"/>
          <w:highlight w:val="yellow"/>
        </w:rPr>
      </w:pPr>
    </w:p>
    <w:p w14:paraId="628C67FB"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 xml:space="preserve">CBK’s desire for a resilient and sustainable banking sector aligns well with the goals of IFRS S2. IFRS S2 requires banks to report on both physical risks (such as extreme weather events and rising sea levels) and transition risks (related to policy changes and technological advancements impacting fossil fuels). The standard emphasizes governance processes for identifying and managing climate risks, as well as integrating these considerations into business strategies, risk management frameworks, and metrics and targets. Notably, scenario analysis is required to assess a bank’s resilience under different future climate scenarios. </w:t>
      </w:r>
    </w:p>
    <w:p w14:paraId="3F7E0072" w14:textId="77777777" w:rsidR="00157082" w:rsidRPr="00157082" w:rsidRDefault="00157082" w:rsidP="00157082">
      <w:pPr>
        <w:contextualSpacing/>
        <w:jc w:val="both"/>
        <w:rPr>
          <w:rFonts w:asciiTheme="minorHAnsi" w:hAnsiTheme="minorHAnsi" w:cstheme="minorHAnsi"/>
          <w:sz w:val="22"/>
          <w:szCs w:val="22"/>
        </w:rPr>
      </w:pPr>
    </w:p>
    <w:p w14:paraId="5FE3DD58"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By promoting transparency and responsible business practices, IFRS S2 paves the way for financial institutions to proactively contribute to a sustainable future. Building upon this momentum, CBK partnered with the European Investment Bank (EIB) in October 2023 to develop an Enhanced Climate Risk Disclosure Framework, among other initiatives.</w:t>
      </w:r>
    </w:p>
    <w:p w14:paraId="43AF6132" w14:textId="77777777" w:rsidR="00157082" w:rsidRPr="00157082" w:rsidRDefault="00157082" w:rsidP="00157082">
      <w:pPr>
        <w:contextualSpacing/>
        <w:jc w:val="both"/>
        <w:rPr>
          <w:rFonts w:asciiTheme="minorHAnsi" w:hAnsiTheme="minorHAnsi" w:cstheme="minorHAnsi"/>
          <w:sz w:val="22"/>
          <w:szCs w:val="22"/>
        </w:rPr>
      </w:pPr>
    </w:p>
    <w:p w14:paraId="3A30880B"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The Enhanced Climate Risk Disclosure Framework signifies a commitment to promoting transparency, accountability, and sustainability in the financial sector. Aligned with global best practices and standards, such as IFRS S2, Basel Committee on Banking Supervision (BCBS) principles, and TCFD recommendations, the framework aims to incorporate the following elements: -</w:t>
      </w:r>
    </w:p>
    <w:p w14:paraId="72DFCF68" w14:textId="77777777" w:rsidR="00157082" w:rsidRPr="00157082" w:rsidRDefault="00157082" w:rsidP="00157082">
      <w:pPr>
        <w:pStyle w:val="ListParagraph"/>
        <w:jc w:val="both"/>
        <w:rPr>
          <w:rFonts w:asciiTheme="minorHAnsi" w:hAnsiTheme="minorHAnsi" w:cstheme="minorHAnsi"/>
          <w:sz w:val="22"/>
          <w:szCs w:val="22"/>
        </w:rPr>
      </w:pPr>
    </w:p>
    <w:p w14:paraId="0F24B894"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lastRenderedPageBreak/>
        <w:t>Enhancing awareness and transparency regarding climate-related risks within the Kenyan banking sector.</w:t>
      </w:r>
    </w:p>
    <w:p w14:paraId="0EC9B98B"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Identification, mapping, and disclosure of climate risks - assessing both physical risks (such as extreme weather events) and transition risks (related to shifts in policy, technology, and market preferences) that could impact the banking sector.</w:t>
      </w:r>
    </w:p>
    <w:p w14:paraId="6BDFD0AD"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Implementation of governance processes for climate-related risks.</w:t>
      </w:r>
    </w:p>
    <w:p w14:paraId="04556C1F"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Incorporation of climate-related risks and opportunities into overall business strategies and decision-making frameworks.</w:t>
      </w:r>
    </w:p>
    <w:p w14:paraId="5C218AB2"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Integration of climate risk management into the banks’ overall risk management processes.</w:t>
      </w:r>
    </w:p>
    <w:p w14:paraId="0DD2B9AA"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Disclosure of specific metrics and set targets related to climate-related risks and opportunities, such as greenhouse gas emissions, exposure to climate-related risks, and the alignment of investments with climate goals.</w:t>
      </w:r>
    </w:p>
    <w:p w14:paraId="682970EB"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Development of a climate risk disclosure dashboard incorporating metrics, heatmaps, and scenario analyses to facilitate monitoring and decision-making regarding climate-related risks.</w:t>
      </w:r>
    </w:p>
    <w:p w14:paraId="18DDD020"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Capacity-building initiatives aimed at ensuring that banks and other institutions have the knowledge and resources to implement measures that support mitigation and adaptation in countering the effect of climate change.</w:t>
      </w:r>
    </w:p>
    <w:p w14:paraId="10860C8E" w14:textId="77777777" w:rsidR="00157082" w:rsidRPr="00157082" w:rsidRDefault="00157082" w:rsidP="00157082">
      <w:pPr>
        <w:contextualSpacing/>
        <w:jc w:val="both"/>
        <w:rPr>
          <w:rFonts w:asciiTheme="minorHAnsi" w:hAnsiTheme="minorHAnsi" w:cstheme="minorHAnsi"/>
          <w:sz w:val="22"/>
          <w:szCs w:val="22"/>
        </w:rPr>
      </w:pPr>
    </w:p>
    <w:p w14:paraId="019C6E85"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 xml:space="preserve">The Enhanced Climate Risk Disclosure framework offers </w:t>
      </w:r>
      <w:proofErr w:type="gramStart"/>
      <w:r w:rsidRPr="00157082">
        <w:rPr>
          <w:rFonts w:asciiTheme="minorHAnsi" w:hAnsiTheme="minorHAnsi" w:cstheme="minorHAnsi"/>
          <w:sz w:val="22"/>
          <w:szCs w:val="22"/>
        </w:rPr>
        <w:t>a number of</w:t>
      </w:r>
      <w:proofErr w:type="gramEnd"/>
      <w:r w:rsidRPr="00157082">
        <w:rPr>
          <w:rFonts w:asciiTheme="minorHAnsi" w:hAnsiTheme="minorHAnsi" w:cstheme="minorHAnsi"/>
          <w:sz w:val="22"/>
          <w:szCs w:val="22"/>
        </w:rPr>
        <w:t xml:space="preserve"> benefits. Banks can improve risk management, leading to more informed lending decisions and increased resilience. Transparent disclosures also attract investors seeking sustainable investments, while strategic planning that considers climate risks fosters long-term sustainability. For investors, the framework provides the information needed to assess the financial implications of climate change on potential investments and identify companies well-positioned for the transition to a low-carbon economy. The </w:t>
      </w:r>
      <w:proofErr w:type="gramStart"/>
      <w:r w:rsidRPr="00157082">
        <w:rPr>
          <w:rFonts w:asciiTheme="minorHAnsi" w:hAnsiTheme="minorHAnsi" w:cstheme="minorHAnsi"/>
          <w:sz w:val="22"/>
          <w:szCs w:val="22"/>
        </w:rPr>
        <w:t>general public</w:t>
      </w:r>
      <w:proofErr w:type="gramEnd"/>
      <w:r w:rsidRPr="00157082">
        <w:rPr>
          <w:rFonts w:asciiTheme="minorHAnsi" w:hAnsiTheme="minorHAnsi" w:cstheme="minorHAnsi"/>
          <w:sz w:val="22"/>
          <w:szCs w:val="22"/>
        </w:rPr>
        <w:t xml:space="preserve"> and other stakeholders also benefit from increased transparency, fostering accountability within the financial sector and encouraging businesses to adopt more sustainable practices.</w:t>
      </w:r>
    </w:p>
    <w:p w14:paraId="69488A01"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1EE33038"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By embracing these initiatives, Kenya’s banking sector is poised to play a pivotal role in fostering climate resilience and sustainability, contributing to both national and global efforts towards a more resilient and sustainable future.</w:t>
      </w:r>
    </w:p>
    <w:p w14:paraId="013A74D3" w14:textId="20CB6BFE" w:rsidR="00721133" w:rsidRPr="00157082" w:rsidRDefault="00721133">
      <w:pPr>
        <w:rPr>
          <w:rFonts w:ascii="Calibri" w:hAnsi="Calibri" w:cs="Calibri"/>
          <w:sz w:val="22"/>
          <w:szCs w:val="22"/>
        </w:rPr>
      </w:pPr>
      <w:r w:rsidRPr="00157082">
        <w:rPr>
          <w:rFonts w:ascii="Calibri" w:hAnsi="Calibri" w:cs="Calibri"/>
          <w:sz w:val="22"/>
          <w:szCs w:val="22"/>
        </w:rPr>
        <w:br w:type="page"/>
      </w:r>
    </w:p>
    <w:p w14:paraId="739A1D9F" w14:textId="77777777" w:rsidR="00721133" w:rsidRPr="00953731" w:rsidRDefault="00721133" w:rsidP="00721133">
      <w:pPr>
        <w:pStyle w:val="Heading1"/>
        <w:pBdr>
          <w:bottom w:val="single" w:sz="8" w:space="1" w:color="2E74B5" w:themeColor="accent5" w:themeShade="BF"/>
        </w:pBdr>
        <w:rPr>
          <w:rFonts w:ascii="Calibri" w:hAnsi="Calibri" w:cs="Calibri"/>
        </w:rPr>
      </w:pPr>
      <w:bookmarkStart w:id="8" w:name="_Toc171908178"/>
      <w:r w:rsidRPr="00953731">
        <w:rPr>
          <w:rFonts w:ascii="Calibri" w:hAnsi="Calibri" w:cs="Calibri"/>
        </w:rPr>
        <w:lastRenderedPageBreak/>
        <w:t>Acknowledgements</w:t>
      </w:r>
      <w:bookmarkEnd w:id="8"/>
      <w:r w:rsidRPr="00953731">
        <w:rPr>
          <w:rFonts w:ascii="Calibri" w:hAnsi="Calibri" w:cs="Calibri"/>
        </w:rPr>
        <w:t xml:space="preserve"> </w:t>
      </w:r>
    </w:p>
    <w:p w14:paraId="1615A259" w14:textId="77777777" w:rsidR="00712140" w:rsidRDefault="00712140" w:rsidP="00721133">
      <w:pPr>
        <w:jc w:val="both"/>
        <w:rPr>
          <w:rFonts w:ascii="Arial" w:hAnsi="Arial" w:cs="Arial"/>
          <w:color w:val="000000"/>
          <w:sz w:val="22"/>
          <w:szCs w:val="22"/>
        </w:rPr>
      </w:pPr>
    </w:p>
    <w:p w14:paraId="178AB821" w14:textId="0B498426" w:rsidR="00167446" w:rsidRPr="00167446" w:rsidRDefault="00B00AC2" w:rsidP="00167446">
      <w:pPr>
        <w:jc w:val="both"/>
        <w:rPr>
          <w:rFonts w:ascii="Calibri" w:hAnsi="Calibri" w:cs="Calibri"/>
          <w:color w:val="000000"/>
        </w:rPr>
      </w:pPr>
      <w:bookmarkStart w:id="9" w:name="_Hlk175213802"/>
      <w:r w:rsidRPr="00167446">
        <w:rPr>
          <w:rFonts w:ascii="Calibri" w:hAnsi="Calibri" w:cs="Calibri"/>
          <w:color w:val="000000"/>
        </w:rPr>
        <w:t xml:space="preserve">This project was implemented by a consortium led by </w:t>
      </w:r>
      <w:r w:rsidRPr="007D521D">
        <w:rPr>
          <w:rFonts w:ascii="Calibri" w:hAnsi="Calibri" w:cs="Calibri"/>
          <w:color w:val="000000"/>
        </w:rPr>
        <w:t>Development Alternatives Incorporated</w:t>
      </w:r>
      <w:r>
        <w:rPr>
          <w:rFonts w:ascii="Calibri" w:hAnsi="Calibri" w:cs="Calibri"/>
          <w:color w:val="000000"/>
        </w:rPr>
        <w:t xml:space="preserve"> (</w:t>
      </w:r>
      <w:r w:rsidRPr="00167446">
        <w:rPr>
          <w:rFonts w:ascii="Calibri" w:hAnsi="Calibri" w:cs="Calibri"/>
          <w:color w:val="000000"/>
        </w:rPr>
        <w:t>DAI</w:t>
      </w:r>
      <w:r>
        <w:rPr>
          <w:rFonts w:ascii="Calibri" w:hAnsi="Calibri" w:cs="Calibri"/>
          <w:color w:val="000000"/>
        </w:rPr>
        <w:t>)</w:t>
      </w:r>
      <w:r w:rsidRPr="00167446">
        <w:rPr>
          <w:rFonts w:ascii="Calibri" w:hAnsi="Calibri" w:cs="Calibri"/>
          <w:color w:val="000000"/>
        </w:rPr>
        <w:t>, in partnership with</w:t>
      </w:r>
      <w:r w:rsidR="0096670A">
        <w:rPr>
          <w:rFonts w:ascii="Calibri" w:hAnsi="Calibri" w:cs="Calibri"/>
          <w:color w:val="000000"/>
        </w:rPr>
        <w:t xml:space="preserve"> </w:t>
      </w:r>
      <w:r w:rsidR="0096670A" w:rsidRPr="0096670A">
        <w:rPr>
          <w:rFonts w:ascii="Calibri" w:hAnsi="Calibri" w:cs="Calibri"/>
          <w:color w:val="000000"/>
        </w:rPr>
        <w:t xml:space="preserve">Application </w:t>
      </w:r>
      <w:proofErr w:type="spellStart"/>
      <w:r w:rsidR="0096670A" w:rsidRPr="0096670A">
        <w:rPr>
          <w:rFonts w:ascii="Calibri" w:hAnsi="Calibri" w:cs="Calibri"/>
          <w:color w:val="000000"/>
        </w:rPr>
        <w:t>Européenne</w:t>
      </w:r>
      <w:proofErr w:type="spellEnd"/>
      <w:r w:rsidR="0096670A" w:rsidRPr="0096670A">
        <w:rPr>
          <w:rFonts w:ascii="Calibri" w:hAnsi="Calibri" w:cs="Calibri"/>
          <w:color w:val="000000"/>
        </w:rPr>
        <w:t xml:space="preserve"> de Technologies et de Services (AETS)</w:t>
      </w:r>
      <w:r>
        <w:rPr>
          <w:rFonts w:ascii="Calibri" w:hAnsi="Calibri" w:cs="Calibri"/>
          <w:color w:val="000000"/>
        </w:rPr>
        <w:t xml:space="preserve"> </w:t>
      </w:r>
      <w:r w:rsidRPr="00167446">
        <w:rPr>
          <w:rFonts w:ascii="Calibri" w:hAnsi="Calibri" w:cs="Calibri"/>
          <w:color w:val="000000"/>
        </w:rPr>
        <w:t xml:space="preserve">and </w:t>
      </w:r>
      <w:r w:rsidRPr="007D521D">
        <w:rPr>
          <w:rFonts w:ascii="Calibri" w:hAnsi="Calibri" w:cs="Calibri"/>
          <w:color w:val="000000"/>
        </w:rPr>
        <w:t>Belgian Bankers Academy (BBA)</w:t>
      </w:r>
      <w:r>
        <w:rPr>
          <w:rFonts w:ascii="Calibri" w:hAnsi="Calibri" w:cs="Calibri"/>
          <w:color w:val="000000"/>
        </w:rPr>
        <w:t>.</w:t>
      </w:r>
      <w:r w:rsidRPr="00167446">
        <w:rPr>
          <w:rFonts w:ascii="Calibri" w:hAnsi="Calibri" w:cs="Calibri"/>
          <w:color w:val="000000"/>
        </w:rPr>
        <w:t xml:space="preserve"> </w:t>
      </w:r>
      <w:r w:rsidR="00167446" w:rsidRPr="00167446">
        <w:rPr>
          <w:rFonts w:ascii="Calibri" w:hAnsi="Calibri" w:cs="Calibri"/>
          <w:color w:val="000000"/>
        </w:rPr>
        <w:t>The technical assistance was financed by the International Climate Initiative Fund (IKI Fund), which is supported by the German Federal Ministry of Economic Affairs</w:t>
      </w:r>
      <w:r w:rsidR="002C6F52">
        <w:rPr>
          <w:rFonts w:ascii="Calibri" w:hAnsi="Calibri" w:cs="Calibri"/>
          <w:color w:val="000000"/>
        </w:rPr>
        <w:t xml:space="preserve">, </w:t>
      </w:r>
      <w:r w:rsidR="002C6F52" w:rsidRPr="002C6F52">
        <w:rPr>
          <w:rFonts w:ascii="Calibri" w:hAnsi="Calibri" w:cs="Calibri"/>
          <w:color w:val="000000"/>
        </w:rPr>
        <w:t>Kenya Meteorological Department</w:t>
      </w:r>
      <w:r w:rsidR="00167446" w:rsidRPr="00167446">
        <w:rPr>
          <w:rFonts w:ascii="Calibri" w:hAnsi="Calibri" w:cs="Calibri"/>
          <w:color w:val="000000"/>
        </w:rPr>
        <w:t xml:space="preserve"> and Climate Action (BMWK). The IKI Fund is a collaboration between the EIB and BMWK to catalyze investments aimed at reducing greenhouse gas emissions and adapting to climate change in developing countries and emerging economies.</w:t>
      </w:r>
    </w:p>
    <w:bookmarkEnd w:id="9"/>
    <w:p w14:paraId="3FC684BB" w14:textId="77777777" w:rsidR="00167446" w:rsidRPr="00167446" w:rsidRDefault="00167446" w:rsidP="00167446">
      <w:pPr>
        <w:jc w:val="both"/>
        <w:rPr>
          <w:rFonts w:ascii="Calibri" w:hAnsi="Calibri" w:cs="Calibri"/>
          <w:color w:val="000000"/>
        </w:rPr>
      </w:pPr>
    </w:p>
    <w:p w14:paraId="3DDEE35C" w14:textId="77777777" w:rsidR="00167446" w:rsidRPr="00167446" w:rsidRDefault="00167446" w:rsidP="00167446">
      <w:pPr>
        <w:jc w:val="both"/>
        <w:rPr>
          <w:rFonts w:ascii="Calibri" w:hAnsi="Calibri" w:cs="Calibri"/>
          <w:color w:val="000000"/>
        </w:rPr>
      </w:pPr>
      <w:r w:rsidRPr="00167446">
        <w:rPr>
          <w:rFonts w:ascii="Calibri" w:hAnsi="Calibri" w:cs="Calibri"/>
          <w:color w:val="000000"/>
        </w:rPr>
        <w:t>Disclaimer: The Central Bank of Kenya (CBK) takes full responsibility for the content of this report. The opinions expressed do not necessarily reflect the views of BMWK or EIB.</w:t>
      </w:r>
    </w:p>
    <w:p w14:paraId="2AC509B4" w14:textId="77777777" w:rsidR="00167446" w:rsidRPr="00167446" w:rsidRDefault="00167446" w:rsidP="00167446">
      <w:pPr>
        <w:jc w:val="both"/>
        <w:rPr>
          <w:rFonts w:ascii="Calibri" w:hAnsi="Calibri" w:cs="Calibri"/>
          <w:color w:val="000000"/>
        </w:rPr>
      </w:pPr>
    </w:p>
    <w:p w14:paraId="74811408" w14:textId="72718250" w:rsidR="00721133" w:rsidRDefault="00167446" w:rsidP="00167446">
      <w:pPr>
        <w:jc w:val="both"/>
        <w:rPr>
          <w:rFonts w:ascii="Calibri" w:hAnsi="Calibri" w:cs="Calibri"/>
          <w:color w:val="000000"/>
        </w:rPr>
      </w:pPr>
      <w:r w:rsidRPr="00167446">
        <w:rPr>
          <w:rFonts w:ascii="Calibri" w:hAnsi="Calibri" w:cs="Calibri"/>
          <w:color w:val="000000"/>
        </w:rPr>
        <w:t>This document was produced and coordinated with significant contributions from the project team at CBK</w:t>
      </w:r>
      <w:r w:rsidR="00524B33">
        <w:rPr>
          <w:rFonts w:ascii="Calibri" w:hAnsi="Calibri" w:cs="Calibri"/>
          <w:color w:val="000000"/>
        </w:rPr>
        <w:t xml:space="preserve"> and authors</w:t>
      </w:r>
      <w:r w:rsidRPr="00167446">
        <w:rPr>
          <w:rFonts w:ascii="Calibri" w:hAnsi="Calibri" w:cs="Calibri"/>
          <w:color w:val="000000"/>
        </w:rPr>
        <w:t xml:space="preserve"> </w:t>
      </w:r>
      <w:r w:rsidR="00524B33" w:rsidRPr="00524B33">
        <w:rPr>
          <w:rFonts w:ascii="Calibri" w:hAnsi="Calibri" w:cs="Calibri"/>
        </w:rPr>
        <w:t xml:space="preserve">Marjan </w:t>
      </w:r>
      <w:proofErr w:type="spellStart"/>
      <w:r w:rsidR="00524B33" w:rsidRPr="00524B33">
        <w:rPr>
          <w:rFonts w:ascii="Calibri" w:hAnsi="Calibri" w:cs="Calibri"/>
        </w:rPr>
        <w:t>Stojiljkovic</w:t>
      </w:r>
      <w:proofErr w:type="spellEnd"/>
      <w:r w:rsidR="00524B33" w:rsidRPr="00524B33">
        <w:rPr>
          <w:rFonts w:ascii="Calibri" w:hAnsi="Calibri" w:cs="Calibri"/>
        </w:rPr>
        <w:t xml:space="preserve"> and Enrique Rebolledo</w:t>
      </w:r>
      <w:r w:rsidR="00524B33">
        <w:rPr>
          <w:rFonts w:ascii="Calibri" w:hAnsi="Calibri" w:cs="Calibri"/>
        </w:rPr>
        <w:t>, with s</w:t>
      </w:r>
      <w:r w:rsidR="00524B33" w:rsidRPr="00524B33">
        <w:rPr>
          <w:rFonts w:ascii="Calibri" w:hAnsi="Calibri" w:cs="Calibri"/>
        </w:rPr>
        <w:t xml:space="preserve">ubstantial inputs provided by Hussein </w:t>
      </w:r>
      <w:proofErr w:type="spellStart"/>
      <w:r w:rsidR="00524B33" w:rsidRPr="00524B33">
        <w:rPr>
          <w:rFonts w:ascii="Calibri" w:hAnsi="Calibri" w:cs="Calibri"/>
        </w:rPr>
        <w:t>Anooshah</w:t>
      </w:r>
      <w:proofErr w:type="spellEnd"/>
      <w:r w:rsidR="00524B33" w:rsidRPr="00524B33">
        <w:rPr>
          <w:rFonts w:ascii="Calibri" w:hAnsi="Calibri" w:cs="Calibri"/>
        </w:rPr>
        <w:t xml:space="preserve">, Chloe </w:t>
      </w:r>
      <w:proofErr w:type="spellStart"/>
      <w:r w:rsidR="00524B33" w:rsidRPr="00524B33">
        <w:rPr>
          <w:rFonts w:ascii="Calibri" w:hAnsi="Calibri" w:cs="Calibri"/>
        </w:rPr>
        <w:t>Prodhomme</w:t>
      </w:r>
      <w:proofErr w:type="spellEnd"/>
      <w:r w:rsidR="00524B33" w:rsidRPr="00524B33">
        <w:rPr>
          <w:rFonts w:ascii="Calibri" w:hAnsi="Calibri" w:cs="Calibri"/>
        </w:rPr>
        <w:t xml:space="preserve">, Relja </w:t>
      </w:r>
      <w:proofErr w:type="spellStart"/>
      <w:r w:rsidR="00524B33" w:rsidRPr="00524B33">
        <w:rPr>
          <w:rFonts w:ascii="Calibri" w:hAnsi="Calibri" w:cs="Calibri"/>
        </w:rPr>
        <w:t>Zambelic</w:t>
      </w:r>
      <w:proofErr w:type="spellEnd"/>
      <w:r w:rsidR="00161135">
        <w:rPr>
          <w:rFonts w:ascii="Calibri" w:hAnsi="Calibri" w:cs="Calibri"/>
        </w:rPr>
        <w:t>,</w:t>
      </w:r>
      <w:r w:rsidR="00524B33" w:rsidRPr="00524B33">
        <w:rPr>
          <w:rFonts w:ascii="Calibri" w:hAnsi="Calibri" w:cs="Calibri"/>
        </w:rPr>
        <w:t xml:space="preserve"> Patrick Nganga</w:t>
      </w:r>
      <w:r w:rsidR="00161135">
        <w:rPr>
          <w:rFonts w:ascii="Calibri" w:hAnsi="Calibri" w:cs="Calibri"/>
        </w:rPr>
        <w:t xml:space="preserve"> and Reuben </w:t>
      </w:r>
      <w:r w:rsidR="003202BA">
        <w:rPr>
          <w:rFonts w:ascii="Calibri" w:hAnsi="Calibri" w:cs="Calibri"/>
        </w:rPr>
        <w:t>Wambui</w:t>
      </w:r>
      <w:r w:rsidR="00524B33" w:rsidRPr="00524B33">
        <w:rPr>
          <w:rFonts w:ascii="Calibri" w:hAnsi="Calibri" w:cs="Calibri"/>
        </w:rPr>
        <w:t>.</w:t>
      </w:r>
    </w:p>
    <w:p w14:paraId="7077B353" w14:textId="77777777" w:rsidR="00524B33" w:rsidRDefault="00524B33" w:rsidP="00167446">
      <w:pPr>
        <w:jc w:val="both"/>
        <w:rPr>
          <w:rFonts w:ascii="Calibri" w:hAnsi="Calibri" w:cs="Calibri"/>
          <w:color w:val="000000"/>
        </w:rPr>
      </w:pPr>
    </w:p>
    <w:p w14:paraId="59696AA4" w14:textId="00D267DE" w:rsidR="00524B33" w:rsidRPr="00157082" w:rsidRDefault="00524B33" w:rsidP="00167446">
      <w:pPr>
        <w:jc w:val="both"/>
        <w:rPr>
          <w:rFonts w:ascii="Calibri" w:hAnsi="Calibri" w:cs="Calibri"/>
        </w:rPr>
      </w:pPr>
    </w:p>
    <w:p w14:paraId="0E005B8E" w14:textId="47190A7F" w:rsidR="007B0D18" w:rsidRPr="000804D7" w:rsidRDefault="007B0D18">
      <w:pPr>
        <w:rPr>
          <w:rFonts w:ascii="Calibri" w:hAnsi="Calibri" w:cs="Calibri"/>
          <w:sz w:val="22"/>
          <w:szCs w:val="22"/>
        </w:rPr>
      </w:pPr>
      <w:r w:rsidRPr="000804D7">
        <w:rPr>
          <w:rFonts w:ascii="Calibri" w:hAnsi="Calibri" w:cs="Calibri"/>
          <w:sz w:val="22"/>
          <w:szCs w:val="22"/>
        </w:rPr>
        <w:br w:type="page"/>
      </w:r>
    </w:p>
    <w:p w14:paraId="5F924B14" w14:textId="05601643" w:rsidR="00E03DEC" w:rsidRPr="003C4F95" w:rsidRDefault="005418A1" w:rsidP="0061766C">
      <w:pPr>
        <w:pStyle w:val="Heading1"/>
        <w:pBdr>
          <w:bottom w:val="single" w:sz="8" w:space="1" w:color="2E74B5" w:themeColor="accent5" w:themeShade="BF"/>
        </w:pBdr>
        <w:rPr>
          <w:rFonts w:ascii="Calibri" w:hAnsi="Calibri" w:cs="Calibri"/>
        </w:rPr>
      </w:pPr>
      <w:bookmarkStart w:id="10" w:name="_Toc171908179"/>
      <w:r w:rsidRPr="003C4F95">
        <w:rPr>
          <w:rFonts w:ascii="Calibri" w:hAnsi="Calibri" w:cs="Calibri"/>
        </w:rPr>
        <w:lastRenderedPageBreak/>
        <w:t>Background</w:t>
      </w:r>
      <w:r w:rsidR="00C56D49" w:rsidRPr="003C4F95">
        <w:rPr>
          <w:rFonts w:ascii="Calibri" w:hAnsi="Calibri" w:cs="Calibri"/>
        </w:rPr>
        <w:t>, Purpose,</w:t>
      </w:r>
      <w:r w:rsidRPr="003C4F95">
        <w:rPr>
          <w:rFonts w:ascii="Calibri" w:hAnsi="Calibri" w:cs="Calibri"/>
        </w:rPr>
        <w:t xml:space="preserve"> and Principles</w:t>
      </w:r>
      <w:bookmarkEnd w:id="6"/>
      <w:bookmarkEnd w:id="7"/>
      <w:bookmarkEnd w:id="10"/>
    </w:p>
    <w:p w14:paraId="14C47BC6" w14:textId="77777777" w:rsidR="005E5E6F" w:rsidRPr="003C4F95" w:rsidRDefault="005E5E6F" w:rsidP="00FB0DA0">
      <w:pPr>
        <w:pStyle w:val="ListParagraph"/>
        <w:contextualSpacing w:val="0"/>
        <w:outlineLvl w:val="0"/>
        <w:rPr>
          <w:rFonts w:ascii="Calibri" w:hAnsi="Calibri" w:cs="Calibri"/>
          <w:lang w:val="en-GB"/>
        </w:rPr>
      </w:pPr>
    </w:p>
    <w:p w14:paraId="0AA1B9CA" w14:textId="627774A9" w:rsidR="00AD1E88" w:rsidRPr="003C4F95" w:rsidRDefault="0076317F" w:rsidP="007A755A">
      <w:pPr>
        <w:jc w:val="both"/>
        <w:rPr>
          <w:rFonts w:ascii="Calibri" w:hAnsi="Calibri" w:cs="Calibri"/>
        </w:rPr>
      </w:pPr>
      <w:r w:rsidRPr="003C4F95">
        <w:rPr>
          <w:rFonts w:ascii="Calibri" w:hAnsi="Calibri" w:cs="Calibri"/>
        </w:rPr>
        <w:t xml:space="preserve">In 2021, the Guidance on Climate-related Risk Management </w:t>
      </w:r>
      <w:r w:rsidR="00657A42" w:rsidRPr="003C4F95">
        <w:rPr>
          <w:rFonts w:ascii="Calibri" w:hAnsi="Calibri" w:cs="Calibri"/>
        </w:rPr>
        <w:t>wa</w:t>
      </w:r>
      <w:r w:rsidRPr="003C4F95">
        <w:rPr>
          <w:rFonts w:ascii="Calibri" w:hAnsi="Calibri" w:cs="Calibri"/>
        </w:rPr>
        <w:t>s issued under section</w:t>
      </w:r>
      <w:r w:rsidR="00657A42" w:rsidRPr="003C4F95">
        <w:rPr>
          <w:rFonts w:ascii="Calibri" w:hAnsi="Calibri" w:cs="Calibri"/>
        </w:rPr>
        <w:t xml:space="preserve"> </w:t>
      </w:r>
      <w:r w:rsidRPr="003C4F95">
        <w:rPr>
          <w:rFonts w:ascii="Calibri" w:hAnsi="Calibri" w:cs="Calibri"/>
        </w:rPr>
        <w:t xml:space="preserve">33(4) of the Banking Act, which empowers the Central Bank of Kenya </w:t>
      </w:r>
      <w:r w:rsidR="00FA7B60" w:rsidRPr="003C4F95">
        <w:rPr>
          <w:rFonts w:ascii="Calibri" w:hAnsi="Calibri" w:cs="Calibri"/>
        </w:rPr>
        <w:t xml:space="preserve">(CBK) </w:t>
      </w:r>
      <w:r w:rsidRPr="003C4F95">
        <w:rPr>
          <w:rFonts w:ascii="Calibri" w:hAnsi="Calibri" w:cs="Calibri"/>
        </w:rPr>
        <w:t xml:space="preserve">to guide institutions </w:t>
      </w:r>
      <w:r w:rsidR="002666C8" w:rsidRPr="003C4F95">
        <w:rPr>
          <w:rFonts w:ascii="Calibri" w:hAnsi="Calibri" w:cs="Calibri"/>
        </w:rPr>
        <w:t>to</w:t>
      </w:r>
      <w:r w:rsidRPr="003C4F95">
        <w:rPr>
          <w:rFonts w:ascii="Calibri" w:hAnsi="Calibri" w:cs="Calibri"/>
        </w:rPr>
        <w:t xml:space="preserve"> maintain a stable and efficient banking and financial system.</w:t>
      </w:r>
      <w:r w:rsidR="00657A42" w:rsidRPr="003C4F95">
        <w:rPr>
          <w:rFonts w:ascii="Calibri" w:hAnsi="Calibri" w:cs="Calibri"/>
        </w:rPr>
        <w:t xml:space="preserve"> </w:t>
      </w:r>
      <w:r w:rsidR="00AD1E88" w:rsidRPr="003C4F95">
        <w:rPr>
          <w:rFonts w:ascii="Calibri" w:hAnsi="Calibri" w:cs="Calibri"/>
        </w:rPr>
        <w:t xml:space="preserve">Today, this Guidance constitutes the main document assisting financial institutions in effectively managing climate-related risks by incorporating them into their business decisions and operations. It offers a structured approach for institutions to integrate climate-related risks into their decision-making processes. </w:t>
      </w:r>
    </w:p>
    <w:p w14:paraId="009CED70" w14:textId="77777777" w:rsidR="00AD1E88" w:rsidRPr="003C4F95" w:rsidRDefault="00AD1E88" w:rsidP="007A755A">
      <w:pPr>
        <w:jc w:val="both"/>
        <w:rPr>
          <w:rFonts w:ascii="Calibri" w:hAnsi="Calibri" w:cs="Calibri"/>
        </w:rPr>
      </w:pPr>
    </w:p>
    <w:p w14:paraId="311F3D2B" w14:textId="3BC43E06" w:rsidR="00AD1E88" w:rsidRPr="003C4F95" w:rsidRDefault="00AD1E88" w:rsidP="00AD1E88">
      <w:pPr>
        <w:pStyle w:val="Caption"/>
        <w:rPr>
          <w:rFonts w:ascii="Calibri" w:hAnsi="Calibri" w:cs="Calibri"/>
          <w:b/>
          <w:bCs/>
          <w:i w:val="0"/>
          <w:iCs w:val="0"/>
          <w:color w:val="ED7D31" w:themeColor="accent2"/>
          <w:sz w:val="24"/>
          <w:szCs w:val="24"/>
          <w:lang w:val="en-GB"/>
        </w:rPr>
      </w:pPr>
      <w:bookmarkStart w:id="11" w:name="_Toc175223816"/>
      <w:r w:rsidRPr="003C4F95">
        <w:rPr>
          <w:rFonts w:ascii="Calibri" w:hAnsi="Calibri" w:cs="Calibri"/>
          <w:b/>
          <w:bCs/>
          <w:i w:val="0"/>
          <w:iCs w:val="0"/>
          <w:color w:val="ED7D31" w:themeColor="accent2"/>
          <w:sz w:val="24"/>
          <w:szCs w:val="24"/>
          <w:lang w:val="en-GB"/>
        </w:rPr>
        <w:t xml:space="preserve">Figure </w:t>
      </w:r>
      <w:r w:rsidRPr="00616282">
        <w:rPr>
          <w:rFonts w:ascii="Calibri" w:hAnsi="Calibri" w:cs="Calibri"/>
          <w:b/>
          <w:bCs/>
          <w:i w:val="0"/>
          <w:iCs w:val="0"/>
          <w:color w:val="ED7D31" w:themeColor="accent2"/>
          <w:sz w:val="24"/>
          <w:szCs w:val="24"/>
          <w:lang w:val="en-GB"/>
        </w:rPr>
        <w:fldChar w:fldCharType="begin"/>
      </w:r>
      <w:r w:rsidRPr="003C4F95">
        <w:rPr>
          <w:rFonts w:ascii="Calibri" w:hAnsi="Calibri" w:cs="Calibri"/>
          <w:b/>
          <w:bCs/>
          <w:i w:val="0"/>
          <w:iCs w:val="0"/>
          <w:color w:val="ED7D31" w:themeColor="accent2"/>
          <w:sz w:val="24"/>
          <w:szCs w:val="24"/>
          <w:lang w:val="en-GB"/>
        </w:rPr>
        <w:instrText xml:space="preserve"> SEQ Figure \* ARABIC </w:instrText>
      </w:r>
      <w:r w:rsidRPr="00616282">
        <w:rPr>
          <w:rFonts w:ascii="Calibri" w:hAnsi="Calibri" w:cs="Calibri"/>
          <w:b/>
          <w:bCs/>
          <w:i w:val="0"/>
          <w:iCs w:val="0"/>
          <w:color w:val="ED7D31" w:themeColor="accent2"/>
          <w:sz w:val="24"/>
          <w:szCs w:val="24"/>
          <w:lang w:val="en-GB"/>
        </w:rPr>
        <w:fldChar w:fldCharType="separate"/>
      </w:r>
      <w:r w:rsidR="0096670A">
        <w:rPr>
          <w:rFonts w:ascii="Calibri" w:hAnsi="Calibri" w:cs="Calibri"/>
          <w:b/>
          <w:bCs/>
          <w:i w:val="0"/>
          <w:iCs w:val="0"/>
          <w:noProof/>
          <w:color w:val="ED7D31" w:themeColor="accent2"/>
          <w:sz w:val="24"/>
          <w:szCs w:val="24"/>
          <w:lang w:val="en-GB"/>
        </w:rPr>
        <w:t>1</w:t>
      </w:r>
      <w:r w:rsidRPr="00616282">
        <w:rPr>
          <w:rFonts w:ascii="Calibri" w:hAnsi="Calibri" w:cs="Calibri"/>
          <w:b/>
          <w:bCs/>
          <w:i w:val="0"/>
          <w:iCs w:val="0"/>
          <w:color w:val="ED7D31" w:themeColor="accent2"/>
          <w:sz w:val="24"/>
          <w:szCs w:val="24"/>
          <w:lang w:val="en-GB"/>
        </w:rPr>
        <w:fldChar w:fldCharType="end"/>
      </w:r>
      <w:r w:rsidRPr="003C4F95">
        <w:rPr>
          <w:rFonts w:ascii="Calibri" w:hAnsi="Calibri" w:cs="Calibri"/>
          <w:b/>
          <w:bCs/>
          <w:i w:val="0"/>
          <w:iCs w:val="0"/>
          <w:color w:val="ED7D31" w:themeColor="accent2"/>
          <w:sz w:val="24"/>
          <w:szCs w:val="24"/>
          <w:lang w:val="en-GB"/>
        </w:rPr>
        <w:t>. Climate change impacts on the financial industry</w:t>
      </w:r>
      <w:bookmarkEnd w:id="11"/>
    </w:p>
    <w:p w14:paraId="167A5B36" w14:textId="77777777" w:rsidR="00AD1E88" w:rsidRPr="00616282" w:rsidRDefault="00AD1E88" w:rsidP="00AD1E88">
      <w:pPr>
        <w:jc w:val="center"/>
        <w:rPr>
          <w:rFonts w:ascii="Calibri" w:hAnsi="Calibri" w:cs="Calibri"/>
          <w:lang w:val="en-GB"/>
        </w:rPr>
      </w:pPr>
      <w:r w:rsidRPr="00616282">
        <w:rPr>
          <w:rFonts w:ascii="Calibri" w:hAnsi="Calibri" w:cs="Calibri"/>
          <w:noProof/>
          <w:lang w:val="en-GB"/>
        </w:rPr>
        <w:drawing>
          <wp:inline distT="0" distB="0" distL="0" distR="0" wp14:anchorId="6B4DB65E" wp14:editId="69CC9389">
            <wp:extent cx="4297874" cy="2396989"/>
            <wp:effectExtent l="0" t="0" r="0" b="3810"/>
            <wp:docPr id="635787237" name="Picture 1"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787237" name="Picture 1" descr="A diagram of a diagram of a company&#10;&#10;Description automatically generated with medium confidence"/>
                    <pic:cNvPicPr/>
                  </pic:nvPicPr>
                  <pic:blipFill rotWithShape="1">
                    <a:blip r:embed="rId12">
                      <a:extLst>
                        <a:ext uri="{28A0092B-C50C-407E-A947-70E740481C1C}">
                          <a14:useLocalDpi xmlns:a14="http://schemas.microsoft.com/office/drawing/2010/main"/>
                        </a:ext>
                      </a:extLst>
                    </a:blip>
                    <a:srcRect/>
                    <a:stretch/>
                  </pic:blipFill>
                  <pic:spPr bwMode="auto">
                    <a:xfrm>
                      <a:off x="0" y="0"/>
                      <a:ext cx="4297874" cy="2396989"/>
                    </a:xfrm>
                    <a:prstGeom prst="rect">
                      <a:avLst/>
                    </a:prstGeom>
                    <a:ln>
                      <a:noFill/>
                    </a:ln>
                    <a:extLst>
                      <a:ext uri="{53640926-AAD7-44D8-BBD7-CCE9431645EC}">
                        <a14:shadowObscured xmlns:a14="http://schemas.microsoft.com/office/drawing/2010/main"/>
                      </a:ext>
                    </a:extLst>
                  </pic:spPr>
                </pic:pic>
              </a:graphicData>
            </a:graphic>
          </wp:inline>
        </w:drawing>
      </w:r>
    </w:p>
    <w:p w14:paraId="6F09F01F" w14:textId="77777777" w:rsidR="00AD1E88" w:rsidRPr="00616282" w:rsidRDefault="00AD1E88" w:rsidP="00AD1E88">
      <w:pPr>
        <w:rPr>
          <w:rFonts w:ascii="Calibri" w:hAnsi="Calibri" w:cs="Calibri"/>
          <w:i/>
          <w:iCs/>
          <w:sz w:val="20"/>
          <w:szCs w:val="20"/>
          <w:lang w:val="en-GB"/>
        </w:rPr>
      </w:pPr>
      <w:r w:rsidRPr="00616282">
        <w:rPr>
          <w:rFonts w:ascii="Calibri" w:hAnsi="Calibri" w:cs="Calibri"/>
          <w:b/>
          <w:bCs/>
          <w:i/>
          <w:iCs/>
          <w:sz w:val="20"/>
          <w:szCs w:val="20"/>
          <w:lang w:val="en-GB"/>
        </w:rPr>
        <w:t>Source:</w:t>
      </w:r>
      <w:r w:rsidRPr="00616282">
        <w:rPr>
          <w:rFonts w:ascii="Calibri" w:hAnsi="Calibri" w:cs="Calibri"/>
          <w:i/>
          <w:iCs/>
          <w:sz w:val="20"/>
          <w:szCs w:val="20"/>
          <w:lang w:val="en-GB"/>
        </w:rPr>
        <w:t xml:space="preserve"> Bank of England. 2018. Transition in thinking: The impact of climate change on the UK banking sector.</w:t>
      </w:r>
    </w:p>
    <w:p w14:paraId="51E837F2" w14:textId="33D24C54" w:rsidR="00AD1E88" w:rsidRPr="00616282" w:rsidRDefault="00AD1E88" w:rsidP="007A755A">
      <w:pPr>
        <w:jc w:val="both"/>
        <w:rPr>
          <w:rFonts w:ascii="Calibri" w:hAnsi="Calibri" w:cs="Calibri"/>
        </w:rPr>
      </w:pPr>
    </w:p>
    <w:p w14:paraId="1B646A27" w14:textId="77777777" w:rsidR="001B20F4" w:rsidRPr="00616282" w:rsidRDefault="00657A42" w:rsidP="007A755A">
      <w:pPr>
        <w:jc w:val="both"/>
        <w:rPr>
          <w:rFonts w:ascii="Calibri" w:hAnsi="Calibri" w:cs="Calibri"/>
        </w:rPr>
      </w:pPr>
      <w:r w:rsidRPr="00616282">
        <w:rPr>
          <w:rFonts w:ascii="Calibri" w:hAnsi="Calibri" w:cs="Calibri"/>
        </w:rPr>
        <w:t xml:space="preserve">The </w:t>
      </w:r>
      <w:r w:rsidR="003B575F" w:rsidRPr="00616282">
        <w:rPr>
          <w:rFonts w:ascii="Calibri" w:hAnsi="Calibri" w:cs="Calibri"/>
        </w:rPr>
        <w:t>Guidance</w:t>
      </w:r>
      <w:r w:rsidRPr="00616282">
        <w:rPr>
          <w:rFonts w:ascii="Calibri" w:hAnsi="Calibri" w:cs="Calibri"/>
        </w:rPr>
        <w:t xml:space="preserve"> outlines essential requirements that institutions should consider implementing to integrate climate-related financial risks into their risk management frameworks. It has been aligned with global best practices and recommendations from the Basel Committee on Banking Supervision</w:t>
      </w:r>
      <w:r w:rsidR="00625EE6" w:rsidRPr="00616282">
        <w:rPr>
          <w:rFonts w:ascii="Calibri" w:hAnsi="Calibri" w:cs="Calibri"/>
        </w:rPr>
        <w:t xml:space="preserve"> (BCBS)</w:t>
      </w:r>
      <w:r w:rsidRPr="00616282">
        <w:rPr>
          <w:rFonts w:ascii="Calibri" w:hAnsi="Calibri" w:cs="Calibri"/>
        </w:rPr>
        <w:t xml:space="preserve">. </w:t>
      </w:r>
    </w:p>
    <w:p w14:paraId="6E4C45B4" w14:textId="77777777" w:rsidR="001B20F4" w:rsidRPr="00616282" w:rsidRDefault="001B20F4" w:rsidP="007A755A">
      <w:pPr>
        <w:jc w:val="both"/>
        <w:rPr>
          <w:rFonts w:ascii="Calibri" w:hAnsi="Calibri" w:cs="Calibri"/>
        </w:rPr>
      </w:pPr>
    </w:p>
    <w:p w14:paraId="48F5F74D" w14:textId="0E04CC75" w:rsidR="00125BDE" w:rsidRPr="00616282" w:rsidRDefault="00C94FB7" w:rsidP="00125BDE">
      <w:pPr>
        <w:jc w:val="both"/>
        <w:rPr>
          <w:rFonts w:ascii="Calibri" w:hAnsi="Calibri" w:cs="Calibri"/>
        </w:rPr>
      </w:pPr>
      <w:r w:rsidRPr="00616282">
        <w:rPr>
          <w:rFonts w:ascii="Calibri" w:hAnsi="Calibri" w:cs="Calibri"/>
        </w:rPr>
        <w:t>Since its publication,</w:t>
      </w:r>
      <w:r w:rsidR="00E43E18" w:rsidRPr="00616282">
        <w:rPr>
          <w:rFonts w:ascii="Calibri" w:hAnsi="Calibri" w:cs="Calibri"/>
        </w:rPr>
        <w:t xml:space="preserve"> the </w:t>
      </w:r>
      <w:r w:rsidR="005933EE" w:rsidRPr="00616282">
        <w:rPr>
          <w:rFonts w:ascii="Calibri" w:hAnsi="Calibri" w:cs="Calibri"/>
        </w:rPr>
        <w:t xml:space="preserve">state of </w:t>
      </w:r>
      <w:r w:rsidR="00E43E18" w:rsidRPr="00616282">
        <w:rPr>
          <w:rFonts w:ascii="Calibri" w:hAnsi="Calibri" w:cs="Calibri"/>
        </w:rPr>
        <w:t xml:space="preserve">climate finance and climate risk </w:t>
      </w:r>
      <w:r w:rsidR="00F42ACD" w:rsidRPr="00616282">
        <w:rPr>
          <w:rFonts w:ascii="Calibri" w:hAnsi="Calibri" w:cs="Calibri"/>
        </w:rPr>
        <w:t xml:space="preserve">for the financial sector </w:t>
      </w:r>
      <w:r w:rsidR="00E43E18" w:rsidRPr="00616282">
        <w:rPr>
          <w:rFonts w:ascii="Calibri" w:hAnsi="Calibri" w:cs="Calibri"/>
        </w:rPr>
        <w:t>has been evolving and maturing</w:t>
      </w:r>
      <w:r w:rsidR="00072E8B" w:rsidRPr="00616282">
        <w:rPr>
          <w:rFonts w:ascii="Calibri" w:hAnsi="Calibri" w:cs="Calibri"/>
        </w:rPr>
        <w:t xml:space="preserve"> </w:t>
      </w:r>
      <w:r w:rsidR="00431957" w:rsidRPr="00616282">
        <w:rPr>
          <w:rFonts w:ascii="Calibri" w:hAnsi="Calibri" w:cs="Calibri"/>
        </w:rPr>
        <w:t>rapidly</w:t>
      </w:r>
      <w:r w:rsidR="00EB7998" w:rsidRPr="00616282">
        <w:rPr>
          <w:rFonts w:ascii="Calibri" w:hAnsi="Calibri" w:cs="Calibri"/>
        </w:rPr>
        <w:t xml:space="preserve"> across practices,</w:t>
      </w:r>
      <w:r w:rsidR="00072E8B" w:rsidRPr="00616282">
        <w:rPr>
          <w:rFonts w:ascii="Calibri" w:hAnsi="Calibri" w:cs="Calibri"/>
        </w:rPr>
        <w:t xml:space="preserve"> standards</w:t>
      </w:r>
      <w:r w:rsidR="00EB7998" w:rsidRPr="00616282">
        <w:rPr>
          <w:rFonts w:ascii="Calibri" w:hAnsi="Calibri" w:cs="Calibri"/>
        </w:rPr>
        <w:t xml:space="preserve">, </w:t>
      </w:r>
      <w:r w:rsidR="00E363CF" w:rsidRPr="00616282">
        <w:rPr>
          <w:rFonts w:ascii="Calibri" w:hAnsi="Calibri" w:cs="Calibri"/>
        </w:rPr>
        <w:t xml:space="preserve">and </w:t>
      </w:r>
      <w:r w:rsidR="00467A08" w:rsidRPr="00616282">
        <w:rPr>
          <w:rFonts w:ascii="Calibri" w:hAnsi="Calibri" w:cs="Calibri"/>
        </w:rPr>
        <w:t>disclosure frameworks</w:t>
      </w:r>
      <w:r w:rsidR="00E363CF" w:rsidRPr="00616282">
        <w:rPr>
          <w:rFonts w:ascii="Calibri" w:hAnsi="Calibri" w:cs="Calibri"/>
        </w:rPr>
        <w:t xml:space="preserve">. </w:t>
      </w:r>
      <w:r w:rsidR="00A16828" w:rsidRPr="00616282">
        <w:rPr>
          <w:rFonts w:ascii="Calibri" w:hAnsi="Calibri" w:cs="Calibri"/>
        </w:rPr>
        <w:t>Most notabl</w:t>
      </w:r>
      <w:r w:rsidR="00CC3D17">
        <w:rPr>
          <w:rFonts w:ascii="Calibri" w:hAnsi="Calibri" w:cs="Calibri"/>
        </w:rPr>
        <w:t>y</w:t>
      </w:r>
      <w:r w:rsidR="00EA7784" w:rsidRPr="00616282">
        <w:rPr>
          <w:rFonts w:ascii="Calibri" w:hAnsi="Calibri" w:cs="Calibri"/>
        </w:rPr>
        <w:t>,</w:t>
      </w:r>
      <w:r w:rsidR="00A16828" w:rsidRPr="00616282">
        <w:rPr>
          <w:rFonts w:ascii="Calibri" w:hAnsi="Calibri" w:cs="Calibri"/>
        </w:rPr>
        <w:t xml:space="preserve"> the </w:t>
      </w:r>
      <w:r w:rsidR="00204217" w:rsidRPr="00204217">
        <w:rPr>
          <w:rFonts w:ascii="Calibri" w:hAnsi="Calibri" w:cs="Calibri"/>
        </w:rPr>
        <w:t xml:space="preserve">International Financial Reporting Standards </w:t>
      </w:r>
      <w:r w:rsidR="00982B2E">
        <w:rPr>
          <w:rFonts w:ascii="Calibri" w:hAnsi="Calibri" w:cs="Calibri"/>
        </w:rPr>
        <w:t>(</w:t>
      </w:r>
      <w:r w:rsidR="00A16828" w:rsidRPr="00616282">
        <w:rPr>
          <w:rFonts w:ascii="Calibri" w:hAnsi="Calibri" w:cs="Calibri"/>
        </w:rPr>
        <w:t>IFRS</w:t>
      </w:r>
      <w:r w:rsidR="00982B2E">
        <w:rPr>
          <w:rFonts w:ascii="Calibri" w:hAnsi="Calibri" w:cs="Calibri"/>
        </w:rPr>
        <w:t>)</w:t>
      </w:r>
      <w:r w:rsidR="00A16828" w:rsidRPr="00616282">
        <w:rPr>
          <w:rFonts w:ascii="Calibri" w:hAnsi="Calibri" w:cs="Calibri"/>
        </w:rPr>
        <w:t xml:space="preserve"> S2</w:t>
      </w:r>
      <w:r w:rsidR="00ED4813" w:rsidRPr="00616282">
        <w:rPr>
          <w:rFonts w:ascii="Calibri" w:hAnsi="Calibri" w:cs="Calibri"/>
        </w:rPr>
        <w:t xml:space="preserve">, successor to the </w:t>
      </w:r>
      <w:r w:rsidR="004205F3" w:rsidRPr="004205F3">
        <w:rPr>
          <w:rFonts w:ascii="Calibri" w:hAnsi="Calibri" w:cs="Calibri"/>
        </w:rPr>
        <w:t xml:space="preserve">Task Force on Climate-related Financial Disclosures </w:t>
      </w:r>
      <w:r w:rsidR="004205F3">
        <w:rPr>
          <w:rFonts w:ascii="Calibri" w:hAnsi="Calibri" w:cs="Calibri"/>
        </w:rPr>
        <w:t>(</w:t>
      </w:r>
      <w:r w:rsidR="00ED4813" w:rsidRPr="00616282">
        <w:rPr>
          <w:rFonts w:ascii="Calibri" w:hAnsi="Calibri" w:cs="Calibri"/>
        </w:rPr>
        <w:t>TCFD</w:t>
      </w:r>
      <w:r w:rsidR="004205F3">
        <w:rPr>
          <w:rFonts w:ascii="Calibri" w:hAnsi="Calibri" w:cs="Calibri"/>
        </w:rPr>
        <w:t>)</w:t>
      </w:r>
      <w:r w:rsidR="00ED4813" w:rsidRPr="00616282">
        <w:rPr>
          <w:rFonts w:ascii="Calibri" w:hAnsi="Calibri" w:cs="Calibri"/>
        </w:rPr>
        <w:t xml:space="preserve">, </w:t>
      </w:r>
      <w:r w:rsidR="008570D9" w:rsidRPr="00616282">
        <w:rPr>
          <w:rFonts w:ascii="Calibri" w:hAnsi="Calibri" w:cs="Calibri"/>
        </w:rPr>
        <w:t>is</w:t>
      </w:r>
      <w:r w:rsidR="00ED4813" w:rsidRPr="00616282">
        <w:rPr>
          <w:rFonts w:ascii="Calibri" w:hAnsi="Calibri" w:cs="Calibri"/>
        </w:rPr>
        <w:t xml:space="preserve"> </w:t>
      </w:r>
      <w:r w:rsidR="007A3783" w:rsidRPr="00616282">
        <w:rPr>
          <w:rFonts w:ascii="Calibri" w:hAnsi="Calibri" w:cs="Calibri"/>
        </w:rPr>
        <w:t xml:space="preserve">quickly </w:t>
      </w:r>
      <w:r w:rsidR="008570D9" w:rsidRPr="00616282">
        <w:rPr>
          <w:rFonts w:ascii="Calibri" w:hAnsi="Calibri" w:cs="Calibri"/>
        </w:rPr>
        <w:t xml:space="preserve">becoming the global climate-related financial disclosure benchmark. </w:t>
      </w:r>
      <w:r w:rsidR="00625EE6" w:rsidRPr="00616282">
        <w:rPr>
          <w:rFonts w:ascii="Calibri" w:hAnsi="Calibri" w:cs="Calibri"/>
        </w:rPr>
        <w:t>The BCBS</w:t>
      </w:r>
      <w:r w:rsidR="00B94477" w:rsidRPr="00616282">
        <w:rPr>
          <w:rFonts w:ascii="Calibri" w:hAnsi="Calibri" w:cs="Calibri"/>
        </w:rPr>
        <w:t xml:space="preserve"> </w:t>
      </w:r>
      <w:r w:rsidR="00625EE6" w:rsidRPr="00616282">
        <w:rPr>
          <w:rFonts w:ascii="Calibri" w:hAnsi="Calibri" w:cs="Calibri"/>
        </w:rPr>
        <w:t>has also</w:t>
      </w:r>
      <w:r w:rsidR="00A72E5D" w:rsidRPr="00616282">
        <w:rPr>
          <w:rFonts w:ascii="Calibri" w:hAnsi="Calibri" w:cs="Calibri"/>
        </w:rPr>
        <w:t xml:space="preserve"> recently</w:t>
      </w:r>
      <w:r w:rsidR="00625EE6" w:rsidRPr="00616282">
        <w:rPr>
          <w:rFonts w:ascii="Calibri" w:hAnsi="Calibri" w:cs="Calibri"/>
        </w:rPr>
        <w:t xml:space="preserve"> launched </w:t>
      </w:r>
      <w:r w:rsidR="00A72E5D" w:rsidRPr="00616282">
        <w:rPr>
          <w:rFonts w:ascii="Calibri" w:hAnsi="Calibri" w:cs="Calibri"/>
        </w:rPr>
        <w:t xml:space="preserve">a public </w:t>
      </w:r>
      <w:r w:rsidR="00A72E5D" w:rsidRPr="00167446">
        <w:rPr>
          <w:rFonts w:ascii="Calibri" w:hAnsi="Calibri" w:cs="Calibri"/>
        </w:rPr>
        <w:t>consultation paper on a Pillar 3 disclosure framework for climate-related financial risks</w:t>
      </w:r>
      <w:r w:rsidR="00B85F36" w:rsidRPr="00167446">
        <w:rPr>
          <w:rFonts w:ascii="Calibri" w:hAnsi="Calibri" w:cs="Calibri"/>
        </w:rPr>
        <w:t>.</w:t>
      </w:r>
      <w:r w:rsidR="00467A08" w:rsidRPr="00167446">
        <w:rPr>
          <w:rFonts w:ascii="Calibri" w:hAnsi="Calibri" w:cs="Calibri"/>
        </w:rPr>
        <w:t xml:space="preserve"> </w:t>
      </w:r>
      <w:r w:rsidR="00167446" w:rsidRPr="00167446">
        <w:rPr>
          <w:rFonts w:ascii="Calibri" w:hAnsi="Calibri" w:cs="Calibri"/>
          <w:bCs/>
        </w:rPr>
        <w:t>Against this backdrop, CBK is formalizing a reporting and disclosure framework for climate-related financial risks (the ‘Framework’), which will update and provide additional guidance to the 'Guidance on Climate-Related Risk Management' issued by CBK in 2021.</w:t>
      </w:r>
      <w:r w:rsidR="00FA7B60" w:rsidRPr="00616282">
        <w:rPr>
          <w:rFonts w:ascii="Calibri" w:hAnsi="Calibri" w:cs="Calibri"/>
        </w:rPr>
        <w:t xml:space="preserve"> </w:t>
      </w:r>
    </w:p>
    <w:p w14:paraId="1F1D3033" w14:textId="77777777" w:rsidR="00125BDE" w:rsidRPr="00616282" w:rsidRDefault="00125BDE" w:rsidP="00125BDE">
      <w:pPr>
        <w:jc w:val="both"/>
        <w:rPr>
          <w:rFonts w:ascii="Calibri" w:hAnsi="Calibri" w:cs="Calibri"/>
        </w:rPr>
      </w:pPr>
    </w:p>
    <w:p w14:paraId="51D4B719" w14:textId="3113183F" w:rsidR="000F55A0" w:rsidRPr="000370EA" w:rsidRDefault="002666C8" w:rsidP="00125BDE">
      <w:pPr>
        <w:jc w:val="both"/>
        <w:rPr>
          <w:rFonts w:ascii="Calibri" w:hAnsi="Calibri" w:cs="Calibri"/>
          <w:u w:val="single"/>
        </w:rPr>
      </w:pPr>
      <w:r w:rsidRPr="000370EA">
        <w:rPr>
          <w:rFonts w:ascii="Calibri" w:hAnsi="Calibri" w:cs="Calibri"/>
          <w:u w:val="single"/>
        </w:rPr>
        <w:t>To</w:t>
      </w:r>
      <w:r w:rsidR="00125BDE" w:rsidRPr="000370EA">
        <w:rPr>
          <w:rFonts w:ascii="Calibri" w:hAnsi="Calibri" w:cs="Calibri"/>
          <w:u w:val="single"/>
        </w:rPr>
        <w:t xml:space="preserve"> assist commercial </w:t>
      </w:r>
      <w:r w:rsidR="00A74BD5" w:rsidRPr="000370EA">
        <w:rPr>
          <w:rFonts w:ascii="Calibri" w:hAnsi="Calibri" w:cs="Calibri"/>
          <w:u w:val="single"/>
        </w:rPr>
        <w:t>banks</w:t>
      </w:r>
      <w:r w:rsidR="00CC3D17">
        <w:rPr>
          <w:rFonts w:ascii="Calibri" w:hAnsi="Calibri" w:cs="Calibri"/>
          <w:u w:val="single"/>
        </w:rPr>
        <w:t xml:space="preserve"> in</w:t>
      </w:r>
      <w:r w:rsidR="00125BDE" w:rsidRPr="000370EA">
        <w:rPr>
          <w:rFonts w:ascii="Calibri" w:hAnsi="Calibri" w:cs="Calibri"/>
          <w:u w:val="single"/>
        </w:rPr>
        <w:t xml:space="preserve"> disclos</w:t>
      </w:r>
      <w:r w:rsidR="00CC3D17">
        <w:rPr>
          <w:rFonts w:ascii="Calibri" w:hAnsi="Calibri" w:cs="Calibri"/>
          <w:u w:val="single"/>
        </w:rPr>
        <w:t>ing</w:t>
      </w:r>
      <w:r w:rsidR="00125BDE" w:rsidRPr="000370EA">
        <w:rPr>
          <w:rFonts w:ascii="Calibri" w:hAnsi="Calibri" w:cs="Calibri"/>
          <w:u w:val="single"/>
        </w:rPr>
        <w:t xml:space="preserve"> </w:t>
      </w:r>
      <w:r w:rsidR="000F55A0" w:rsidRPr="000370EA">
        <w:rPr>
          <w:rFonts w:ascii="Calibri" w:hAnsi="Calibri" w:cs="Calibri"/>
          <w:u w:val="single"/>
        </w:rPr>
        <w:t>climate-</w:t>
      </w:r>
      <w:r w:rsidR="00125BDE" w:rsidRPr="000370EA">
        <w:rPr>
          <w:rFonts w:ascii="Calibri" w:hAnsi="Calibri" w:cs="Calibri"/>
          <w:u w:val="single"/>
        </w:rPr>
        <w:t>related information in a relevant, useful, consistent and comparable manner</w:t>
      </w:r>
      <w:r w:rsidR="00845BF4">
        <w:rPr>
          <w:rFonts w:ascii="Calibri" w:hAnsi="Calibri" w:cs="Calibri"/>
          <w:u w:val="single"/>
        </w:rPr>
        <w:t>,</w:t>
      </w:r>
      <w:r w:rsidR="00125BDE" w:rsidRPr="000370EA">
        <w:rPr>
          <w:rFonts w:ascii="Calibri" w:hAnsi="Calibri" w:cs="Calibri"/>
          <w:u w:val="single"/>
        </w:rPr>
        <w:t xml:space="preserve"> the </w:t>
      </w:r>
      <w:r w:rsidR="000F55A0" w:rsidRPr="000370EA">
        <w:rPr>
          <w:rFonts w:ascii="Calibri" w:hAnsi="Calibri" w:cs="Calibri"/>
          <w:u w:val="single"/>
        </w:rPr>
        <w:t xml:space="preserve">Climate-Related </w:t>
      </w:r>
      <w:r w:rsidR="00125BDE" w:rsidRPr="000370EA">
        <w:rPr>
          <w:rFonts w:ascii="Calibri" w:hAnsi="Calibri" w:cs="Calibri"/>
          <w:u w:val="single"/>
        </w:rPr>
        <w:t xml:space="preserve">Reporting and Disclosure </w:t>
      </w:r>
      <w:r w:rsidR="000F55A0" w:rsidRPr="000370EA">
        <w:rPr>
          <w:rFonts w:ascii="Calibri" w:hAnsi="Calibri" w:cs="Calibri"/>
          <w:u w:val="single"/>
        </w:rPr>
        <w:t>Framework a</w:t>
      </w:r>
      <w:r w:rsidR="00125BDE" w:rsidRPr="000370EA">
        <w:rPr>
          <w:rFonts w:ascii="Calibri" w:hAnsi="Calibri" w:cs="Calibri"/>
          <w:u w:val="single"/>
        </w:rPr>
        <w:t>nd corresponding template</w:t>
      </w:r>
      <w:r w:rsidR="000F55A0" w:rsidRPr="000370EA">
        <w:rPr>
          <w:rFonts w:ascii="Calibri" w:hAnsi="Calibri" w:cs="Calibri"/>
          <w:u w:val="single"/>
        </w:rPr>
        <w:t>s</w:t>
      </w:r>
      <w:r w:rsidR="00125BDE" w:rsidRPr="000370EA">
        <w:rPr>
          <w:rFonts w:ascii="Calibri" w:hAnsi="Calibri" w:cs="Calibri"/>
          <w:u w:val="single"/>
        </w:rPr>
        <w:t xml:space="preserve"> have been developed. </w:t>
      </w:r>
    </w:p>
    <w:p w14:paraId="3CE5BF63" w14:textId="77777777" w:rsidR="000F55A0" w:rsidRPr="000370EA" w:rsidRDefault="000F55A0" w:rsidP="00125BDE">
      <w:pPr>
        <w:jc w:val="both"/>
        <w:rPr>
          <w:rFonts w:ascii="Calibri" w:hAnsi="Calibri" w:cs="Calibri"/>
        </w:rPr>
      </w:pPr>
    </w:p>
    <w:p w14:paraId="3D7325B8" w14:textId="1B557122" w:rsidR="00047596" w:rsidRPr="00616282" w:rsidRDefault="00125BDE" w:rsidP="001B20F4">
      <w:pPr>
        <w:jc w:val="both"/>
        <w:rPr>
          <w:rFonts w:ascii="Calibri" w:hAnsi="Calibri" w:cs="Calibri"/>
        </w:rPr>
      </w:pPr>
      <w:r w:rsidRPr="00616282">
        <w:rPr>
          <w:rFonts w:ascii="Calibri" w:hAnsi="Calibri" w:cs="Calibri"/>
        </w:rPr>
        <w:t>Such enhanced disclosure on</w:t>
      </w:r>
      <w:r w:rsidR="000F55A0" w:rsidRPr="00616282">
        <w:rPr>
          <w:rFonts w:ascii="Calibri" w:hAnsi="Calibri" w:cs="Calibri"/>
        </w:rPr>
        <w:t xml:space="preserve"> </w:t>
      </w:r>
      <w:r w:rsidR="0008057D">
        <w:rPr>
          <w:rFonts w:ascii="Calibri" w:hAnsi="Calibri" w:cs="Calibri"/>
        </w:rPr>
        <w:t>climate-related</w:t>
      </w:r>
      <w:r w:rsidR="000F55A0" w:rsidRPr="00616282">
        <w:rPr>
          <w:rFonts w:ascii="Calibri" w:hAnsi="Calibri" w:cs="Calibri"/>
        </w:rPr>
        <w:t xml:space="preserve"> issues</w:t>
      </w:r>
      <w:r w:rsidRPr="00616282">
        <w:rPr>
          <w:rFonts w:ascii="Calibri" w:hAnsi="Calibri" w:cs="Calibri"/>
        </w:rPr>
        <w:t xml:space="preserve"> also aims to help </w:t>
      </w:r>
      <w:r w:rsidR="000F55A0" w:rsidRPr="00616282">
        <w:rPr>
          <w:rFonts w:ascii="Calibri" w:hAnsi="Calibri" w:cs="Calibri"/>
        </w:rPr>
        <w:t>Kenya</w:t>
      </w:r>
      <w:r w:rsidRPr="00616282">
        <w:rPr>
          <w:rFonts w:ascii="Calibri" w:hAnsi="Calibri" w:cs="Calibri"/>
        </w:rPr>
        <w:t xml:space="preserve">'s financial sector promote </w:t>
      </w:r>
      <w:r w:rsidR="00FD4884" w:rsidRPr="00616282">
        <w:rPr>
          <w:rFonts w:ascii="Calibri" w:hAnsi="Calibri" w:cs="Calibri"/>
        </w:rPr>
        <w:t xml:space="preserve">climate </w:t>
      </w:r>
      <w:r w:rsidRPr="00616282">
        <w:rPr>
          <w:rFonts w:ascii="Calibri" w:hAnsi="Calibri" w:cs="Calibri"/>
        </w:rPr>
        <w:t>risk management and improve transparency</w:t>
      </w:r>
      <w:r w:rsidR="00845BF4">
        <w:rPr>
          <w:rFonts w:ascii="Calibri" w:hAnsi="Calibri" w:cs="Calibri"/>
        </w:rPr>
        <w:t xml:space="preserve"> and reporting</w:t>
      </w:r>
      <w:r w:rsidR="00FD4884" w:rsidRPr="00616282">
        <w:rPr>
          <w:rFonts w:ascii="Calibri" w:hAnsi="Calibri" w:cs="Calibri"/>
        </w:rPr>
        <w:t xml:space="preserve">. Furthermore, the </w:t>
      </w:r>
      <w:r w:rsidR="00047596" w:rsidRPr="00616282">
        <w:rPr>
          <w:rFonts w:ascii="Calibri" w:hAnsi="Calibri" w:cs="Calibri"/>
        </w:rPr>
        <w:t xml:space="preserve">Framework aims to: </w:t>
      </w:r>
    </w:p>
    <w:p w14:paraId="0F8C05A5" w14:textId="77777777" w:rsidR="00C1039F" w:rsidRPr="00616282" w:rsidRDefault="00C1039F" w:rsidP="000803B0">
      <w:pPr>
        <w:pStyle w:val="ListParagraph"/>
        <w:ind w:left="1080"/>
        <w:rPr>
          <w:rFonts w:ascii="Calibri" w:hAnsi="Calibri" w:cs="Calibri"/>
          <w:lang w:val="en-GB"/>
        </w:rPr>
      </w:pPr>
    </w:p>
    <w:p w14:paraId="61692ED9" w14:textId="6F872054" w:rsidR="00C1039F" w:rsidRPr="00616282" w:rsidRDefault="00C1039F" w:rsidP="0090701E">
      <w:pPr>
        <w:pStyle w:val="ListParagraph"/>
        <w:numPr>
          <w:ilvl w:val="0"/>
          <w:numId w:val="4"/>
        </w:numPr>
        <w:jc w:val="both"/>
        <w:rPr>
          <w:rFonts w:ascii="Calibri" w:hAnsi="Calibri" w:cs="Calibri"/>
          <w:lang w:val="en-GB"/>
        </w:rPr>
      </w:pPr>
      <w:r w:rsidRPr="00616282">
        <w:rPr>
          <w:rFonts w:ascii="Calibri" w:hAnsi="Calibri" w:cs="Calibri"/>
        </w:rPr>
        <w:t xml:space="preserve">Ensure </w:t>
      </w:r>
      <w:r w:rsidRPr="00616282">
        <w:rPr>
          <w:rFonts w:ascii="Calibri" w:hAnsi="Calibri" w:cs="Calibri"/>
          <w:b/>
          <w:bCs/>
        </w:rPr>
        <w:t>market transparency</w:t>
      </w:r>
      <w:r w:rsidRPr="00616282">
        <w:rPr>
          <w:rFonts w:ascii="Calibri" w:hAnsi="Calibri" w:cs="Calibri"/>
        </w:rPr>
        <w:t xml:space="preserve"> and improve </w:t>
      </w:r>
      <w:r w:rsidRPr="00616282">
        <w:rPr>
          <w:rFonts w:ascii="Calibri" w:hAnsi="Calibri" w:cs="Calibri"/>
          <w:b/>
          <w:bCs/>
        </w:rPr>
        <w:t>market discipline</w:t>
      </w:r>
      <w:r w:rsidRPr="00616282">
        <w:rPr>
          <w:rFonts w:ascii="Calibri" w:hAnsi="Calibri" w:cs="Calibri"/>
        </w:rPr>
        <w:t xml:space="preserve"> </w:t>
      </w:r>
      <w:r w:rsidR="002666C8" w:rsidRPr="00616282">
        <w:rPr>
          <w:rFonts w:ascii="Calibri" w:hAnsi="Calibri" w:cs="Calibri"/>
        </w:rPr>
        <w:t>in</w:t>
      </w:r>
      <w:r w:rsidRPr="00616282">
        <w:rPr>
          <w:rFonts w:ascii="Calibri" w:hAnsi="Calibri" w:cs="Calibri"/>
        </w:rPr>
        <w:t xml:space="preserve"> </w:t>
      </w:r>
      <w:r w:rsidR="0008057D">
        <w:rPr>
          <w:rFonts w:ascii="Calibri" w:hAnsi="Calibri" w:cs="Calibri"/>
        </w:rPr>
        <w:t>climate-related</w:t>
      </w:r>
      <w:r w:rsidRPr="00616282">
        <w:rPr>
          <w:rFonts w:ascii="Calibri" w:hAnsi="Calibri" w:cs="Calibri"/>
        </w:rPr>
        <w:t xml:space="preserve"> risk assessment</w:t>
      </w:r>
    </w:p>
    <w:p w14:paraId="139CAC2E" w14:textId="0A91EBF0" w:rsidR="00296C7C" w:rsidRPr="00616282" w:rsidRDefault="000D6049" w:rsidP="0090701E">
      <w:pPr>
        <w:pStyle w:val="ListParagraph"/>
        <w:numPr>
          <w:ilvl w:val="0"/>
          <w:numId w:val="4"/>
        </w:numPr>
        <w:jc w:val="both"/>
        <w:rPr>
          <w:rFonts w:ascii="Calibri" w:hAnsi="Calibri" w:cs="Calibri"/>
          <w:lang w:val="en-GB"/>
        </w:rPr>
      </w:pPr>
      <w:r w:rsidRPr="00616282">
        <w:rPr>
          <w:rFonts w:ascii="Calibri" w:hAnsi="Calibri" w:cs="Calibri"/>
          <w:b/>
          <w:bCs/>
          <w:lang w:val="en-GB"/>
        </w:rPr>
        <w:t>Strengthen</w:t>
      </w:r>
      <w:r w:rsidR="00296C7C" w:rsidRPr="00616282">
        <w:rPr>
          <w:rFonts w:ascii="Calibri" w:hAnsi="Calibri" w:cs="Calibri"/>
          <w:b/>
          <w:bCs/>
          <w:lang w:val="en-GB"/>
        </w:rPr>
        <w:t xml:space="preserve"> capacities</w:t>
      </w:r>
      <w:r w:rsidR="00296C7C" w:rsidRPr="00616282">
        <w:rPr>
          <w:rFonts w:ascii="Calibri" w:hAnsi="Calibri" w:cs="Calibri"/>
          <w:lang w:val="en-GB"/>
        </w:rPr>
        <w:t xml:space="preserve"> of </w:t>
      </w:r>
      <w:r w:rsidRPr="00616282">
        <w:rPr>
          <w:rFonts w:ascii="Calibri" w:hAnsi="Calibri" w:cs="Calibri"/>
          <w:lang w:val="en-GB"/>
        </w:rPr>
        <w:t>the banking sector</w:t>
      </w:r>
      <w:r w:rsidR="00296C7C" w:rsidRPr="00616282">
        <w:rPr>
          <w:rFonts w:ascii="Calibri" w:hAnsi="Calibri" w:cs="Calibri"/>
          <w:lang w:val="en-GB"/>
        </w:rPr>
        <w:t xml:space="preserve"> to </w:t>
      </w:r>
      <w:r w:rsidR="00296C7C" w:rsidRPr="00616282">
        <w:rPr>
          <w:rFonts w:ascii="Calibri" w:hAnsi="Calibri" w:cs="Calibri"/>
          <w:b/>
          <w:bCs/>
          <w:lang w:val="en-GB"/>
        </w:rPr>
        <w:t>identify</w:t>
      </w:r>
      <w:r w:rsidR="00296C7C" w:rsidRPr="00616282">
        <w:rPr>
          <w:rFonts w:ascii="Calibri" w:hAnsi="Calibri" w:cs="Calibri"/>
          <w:lang w:val="en-GB"/>
        </w:rPr>
        <w:t xml:space="preserve">, </w:t>
      </w:r>
      <w:r w:rsidR="00296C7C" w:rsidRPr="00616282">
        <w:rPr>
          <w:rFonts w:ascii="Calibri" w:hAnsi="Calibri" w:cs="Calibri"/>
          <w:b/>
          <w:bCs/>
          <w:lang w:val="en-GB"/>
        </w:rPr>
        <w:t>assess</w:t>
      </w:r>
      <w:r w:rsidR="00296C7C" w:rsidRPr="00616282">
        <w:rPr>
          <w:rFonts w:ascii="Calibri" w:hAnsi="Calibri" w:cs="Calibri"/>
          <w:lang w:val="en-GB"/>
        </w:rPr>
        <w:t xml:space="preserve"> and </w:t>
      </w:r>
      <w:r w:rsidR="00296C7C" w:rsidRPr="00616282">
        <w:rPr>
          <w:rFonts w:ascii="Calibri" w:hAnsi="Calibri" w:cs="Calibri"/>
          <w:b/>
          <w:bCs/>
          <w:lang w:val="en-GB"/>
        </w:rPr>
        <w:t>m</w:t>
      </w:r>
      <w:r w:rsidR="00C1039F" w:rsidRPr="00616282">
        <w:rPr>
          <w:rFonts w:ascii="Calibri" w:hAnsi="Calibri" w:cs="Calibri"/>
          <w:b/>
          <w:bCs/>
          <w:lang w:val="en-GB"/>
        </w:rPr>
        <w:t>a</w:t>
      </w:r>
      <w:r w:rsidR="00296C7C" w:rsidRPr="00616282">
        <w:rPr>
          <w:rFonts w:ascii="Calibri" w:hAnsi="Calibri" w:cs="Calibri"/>
          <w:b/>
          <w:bCs/>
          <w:lang w:val="en-GB"/>
        </w:rPr>
        <w:t>nage</w:t>
      </w:r>
      <w:r w:rsidR="00296C7C" w:rsidRPr="00616282">
        <w:rPr>
          <w:rFonts w:ascii="Calibri" w:hAnsi="Calibri" w:cs="Calibri"/>
          <w:lang w:val="en-GB"/>
        </w:rPr>
        <w:t xml:space="preserve"> climate-related risks in decision-making and </w:t>
      </w:r>
      <w:r w:rsidR="00296C7C" w:rsidRPr="00616282">
        <w:rPr>
          <w:rFonts w:ascii="Calibri" w:hAnsi="Calibri" w:cs="Calibri"/>
          <w:b/>
          <w:bCs/>
          <w:lang w:val="en-GB"/>
        </w:rPr>
        <w:t>enhance resilience</w:t>
      </w:r>
      <w:r w:rsidR="00296C7C" w:rsidRPr="00616282">
        <w:rPr>
          <w:rFonts w:ascii="Calibri" w:hAnsi="Calibri" w:cs="Calibri"/>
          <w:lang w:val="en-GB"/>
        </w:rPr>
        <w:t xml:space="preserve"> of business models.</w:t>
      </w:r>
    </w:p>
    <w:p w14:paraId="1AC4B290" w14:textId="20C3D3AF" w:rsidR="00047596" w:rsidRPr="00616282" w:rsidRDefault="00047596" w:rsidP="0090701E">
      <w:pPr>
        <w:pStyle w:val="ListParagraph"/>
        <w:numPr>
          <w:ilvl w:val="0"/>
          <w:numId w:val="4"/>
        </w:numPr>
        <w:jc w:val="both"/>
        <w:rPr>
          <w:rFonts w:ascii="Calibri" w:hAnsi="Calibri" w:cs="Calibri"/>
          <w:lang w:val="en-GB"/>
        </w:rPr>
      </w:pPr>
      <w:r w:rsidRPr="00616282">
        <w:rPr>
          <w:rFonts w:ascii="Calibri" w:hAnsi="Calibri" w:cs="Calibri"/>
          <w:b/>
          <w:bCs/>
          <w:lang w:val="en-GB"/>
        </w:rPr>
        <w:t>Raise awareness</w:t>
      </w:r>
      <w:r w:rsidRPr="00616282">
        <w:rPr>
          <w:rFonts w:ascii="Calibri" w:hAnsi="Calibri" w:cs="Calibri"/>
          <w:lang w:val="en-GB"/>
        </w:rPr>
        <w:t xml:space="preserve"> of the financial risks associated with climate change in the banking sector.</w:t>
      </w:r>
    </w:p>
    <w:p w14:paraId="374CD874" w14:textId="416760AE" w:rsidR="00AA3104" w:rsidRPr="00616282" w:rsidRDefault="00296C7C" w:rsidP="0090701E">
      <w:pPr>
        <w:pStyle w:val="ListParagraph"/>
        <w:numPr>
          <w:ilvl w:val="0"/>
          <w:numId w:val="4"/>
        </w:numPr>
        <w:jc w:val="both"/>
        <w:rPr>
          <w:rFonts w:ascii="Calibri" w:hAnsi="Calibri" w:cs="Calibri"/>
          <w:lang w:val="en-GB"/>
        </w:rPr>
      </w:pPr>
      <w:r w:rsidRPr="00616282">
        <w:rPr>
          <w:rFonts w:ascii="Calibri" w:hAnsi="Calibri" w:cs="Calibri"/>
          <w:lang w:val="en-GB"/>
        </w:rPr>
        <w:t>E</w:t>
      </w:r>
      <w:r w:rsidR="00047596" w:rsidRPr="00616282">
        <w:rPr>
          <w:rFonts w:ascii="Calibri" w:hAnsi="Calibri" w:cs="Calibri"/>
          <w:lang w:val="en-GB"/>
        </w:rPr>
        <w:t>nhance the disclosure of climate-related financial risks in the banking sector</w:t>
      </w:r>
      <w:r w:rsidRPr="00616282">
        <w:rPr>
          <w:rFonts w:ascii="Calibri" w:hAnsi="Calibri" w:cs="Calibri"/>
          <w:lang w:val="en-GB"/>
        </w:rPr>
        <w:t xml:space="preserve"> through templates and guideline</w:t>
      </w:r>
      <w:r w:rsidR="00462246" w:rsidRPr="00616282">
        <w:rPr>
          <w:rFonts w:ascii="Calibri" w:hAnsi="Calibri" w:cs="Calibri"/>
          <w:lang w:val="en-GB"/>
        </w:rPr>
        <w:t>s</w:t>
      </w:r>
      <w:r w:rsidR="00CC3D17">
        <w:rPr>
          <w:rFonts w:ascii="Calibri" w:hAnsi="Calibri" w:cs="Calibri"/>
          <w:lang w:val="en-GB"/>
        </w:rPr>
        <w:t>,</w:t>
      </w:r>
      <w:r w:rsidR="00462246" w:rsidRPr="00616282">
        <w:rPr>
          <w:rFonts w:ascii="Calibri" w:hAnsi="Calibri" w:cs="Calibri"/>
          <w:lang w:val="en-GB"/>
        </w:rPr>
        <w:t xml:space="preserve"> thereby </w:t>
      </w:r>
      <w:r w:rsidR="00462246" w:rsidRPr="00616282">
        <w:rPr>
          <w:rFonts w:ascii="Calibri" w:hAnsi="Calibri" w:cs="Calibri"/>
          <w:b/>
          <w:bCs/>
          <w:lang w:val="en-GB"/>
        </w:rPr>
        <w:t>improving comparative analysis</w:t>
      </w:r>
      <w:r w:rsidR="00462246" w:rsidRPr="00616282">
        <w:rPr>
          <w:rFonts w:ascii="Calibri" w:hAnsi="Calibri" w:cs="Calibri"/>
          <w:lang w:val="en-GB"/>
        </w:rPr>
        <w:t xml:space="preserve"> and </w:t>
      </w:r>
      <w:r w:rsidR="00462246" w:rsidRPr="00616282">
        <w:rPr>
          <w:rFonts w:ascii="Calibri" w:hAnsi="Calibri" w:cs="Calibri"/>
          <w:b/>
          <w:bCs/>
          <w:lang w:val="en-GB"/>
        </w:rPr>
        <w:t>benchmarking</w:t>
      </w:r>
    </w:p>
    <w:p w14:paraId="00FD160E" w14:textId="33C57341" w:rsidR="00AA3104" w:rsidRPr="00616282" w:rsidRDefault="000D6049" w:rsidP="0090701E">
      <w:pPr>
        <w:pStyle w:val="ListParagraph"/>
        <w:numPr>
          <w:ilvl w:val="0"/>
          <w:numId w:val="4"/>
        </w:numPr>
        <w:jc w:val="both"/>
        <w:rPr>
          <w:rFonts w:ascii="Calibri" w:hAnsi="Calibri" w:cs="Calibri"/>
          <w:lang w:val="en-GB"/>
        </w:rPr>
      </w:pPr>
      <w:r w:rsidRPr="00616282">
        <w:rPr>
          <w:rFonts w:ascii="Calibri" w:hAnsi="Calibri" w:cs="Calibri"/>
          <w:b/>
          <w:bCs/>
          <w:lang w:val="en-GB"/>
        </w:rPr>
        <w:t>Illustrate b</w:t>
      </w:r>
      <w:r w:rsidR="00532F70" w:rsidRPr="00616282">
        <w:rPr>
          <w:rFonts w:ascii="Calibri" w:hAnsi="Calibri" w:cs="Calibri"/>
          <w:b/>
          <w:bCs/>
          <w:lang w:val="en-GB"/>
        </w:rPr>
        <w:t>est practice</w:t>
      </w:r>
      <w:r w:rsidR="00CC3D17">
        <w:rPr>
          <w:rFonts w:ascii="Calibri" w:hAnsi="Calibri" w:cs="Calibri"/>
          <w:b/>
          <w:bCs/>
          <w:lang w:val="en-GB"/>
        </w:rPr>
        <w:t>s</w:t>
      </w:r>
      <w:r w:rsidR="00532F70" w:rsidRPr="00616282">
        <w:rPr>
          <w:rFonts w:ascii="Calibri" w:hAnsi="Calibri" w:cs="Calibri"/>
          <w:lang w:val="en-GB"/>
        </w:rPr>
        <w:t xml:space="preserve"> on cl</w:t>
      </w:r>
      <w:r w:rsidR="00066B35" w:rsidRPr="00616282">
        <w:rPr>
          <w:rFonts w:ascii="Calibri" w:hAnsi="Calibri" w:cs="Calibri"/>
          <w:lang w:val="en-GB"/>
        </w:rPr>
        <w:t>i</w:t>
      </w:r>
      <w:r w:rsidR="00532F70" w:rsidRPr="00616282">
        <w:rPr>
          <w:rFonts w:ascii="Calibri" w:hAnsi="Calibri" w:cs="Calibri"/>
          <w:lang w:val="en-GB"/>
        </w:rPr>
        <w:t>mate risk practices by financial institutions globally and regionally</w:t>
      </w:r>
      <w:r w:rsidR="00CC3D17">
        <w:rPr>
          <w:rFonts w:ascii="Calibri" w:hAnsi="Calibri" w:cs="Calibri"/>
          <w:lang w:val="en-GB"/>
        </w:rPr>
        <w:t>, which</w:t>
      </w:r>
      <w:r w:rsidR="00532F70" w:rsidRPr="00616282">
        <w:rPr>
          <w:rFonts w:ascii="Calibri" w:hAnsi="Calibri" w:cs="Calibri"/>
          <w:lang w:val="en-GB"/>
        </w:rPr>
        <w:t xml:space="preserve"> are included as illustrative examples in the Framework. </w:t>
      </w:r>
    </w:p>
    <w:p w14:paraId="590A6821" w14:textId="30DDEA00" w:rsidR="00066B35" w:rsidRPr="00616282" w:rsidRDefault="00066B35" w:rsidP="0090701E">
      <w:pPr>
        <w:pStyle w:val="ListParagraph"/>
        <w:numPr>
          <w:ilvl w:val="0"/>
          <w:numId w:val="4"/>
        </w:numPr>
        <w:jc w:val="both"/>
        <w:rPr>
          <w:rFonts w:ascii="Calibri" w:hAnsi="Calibri" w:cs="Calibri"/>
          <w:lang w:val="en-GB"/>
        </w:rPr>
      </w:pPr>
      <w:r w:rsidRPr="00616282">
        <w:rPr>
          <w:rFonts w:ascii="Calibri" w:hAnsi="Calibri" w:cs="Calibri"/>
          <w:lang w:val="en-GB"/>
        </w:rPr>
        <w:t xml:space="preserve">Facilitate </w:t>
      </w:r>
      <w:r w:rsidRPr="00616282">
        <w:rPr>
          <w:rFonts w:ascii="Calibri" w:hAnsi="Calibri" w:cs="Calibri"/>
          <w:b/>
          <w:bCs/>
          <w:lang w:val="en-GB"/>
        </w:rPr>
        <w:t>supervisory</w:t>
      </w:r>
      <w:r w:rsidR="008C3DE0" w:rsidRPr="00616282">
        <w:rPr>
          <w:rFonts w:ascii="Calibri" w:hAnsi="Calibri" w:cs="Calibri"/>
          <w:b/>
          <w:bCs/>
          <w:lang w:val="en-GB"/>
        </w:rPr>
        <w:t>-</w:t>
      </w:r>
      <w:r w:rsidRPr="00616282">
        <w:rPr>
          <w:rFonts w:ascii="Calibri" w:hAnsi="Calibri" w:cs="Calibri"/>
          <w:b/>
          <w:bCs/>
          <w:lang w:val="en-GB"/>
        </w:rPr>
        <w:t>related analysis</w:t>
      </w:r>
      <w:r w:rsidRPr="00616282">
        <w:rPr>
          <w:rFonts w:ascii="Calibri" w:hAnsi="Calibri" w:cs="Calibri"/>
          <w:lang w:val="en-GB"/>
        </w:rPr>
        <w:t xml:space="preserve"> of the banking sector</w:t>
      </w:r>
      <w:r w:rsidR="008C3DE0" w:rsidRPr="00616282">
        <w:rPr>
          <w:rFonts w:ascii="Calibri" w:hAnsi="Calibri" w:cs="Calibri"/>
          <w:lang w:val="en-GB"/>
        </w:rPr>
        <w:t xml:space="preserve"> across the three Pillars</w:t>
      </w:r>
      <w:r w:rsidR="00462246" w:rsidRPr="00616282">
        <w:rPr>
          <w:rFonts w:ascii="Calibri" w:hAnsi="Calibri" w:cs="Calibri"/>
          <w:lang w:val="en-GB"/>
        </w:rPr>
        <w:t xml:space="preserve"> of the Basel Framework.</w:t>
      </w:r>
    </w:p>
    <w:p w14:paraId="097C9EC2" w14:textId="77777777" w:rsidR="00D17F75" w:rsidRPr="00616282" w:rsidRDefault="00D17F75" w:rsidP="00616282">
      <w:pPr>
        <w:rPr>
          <w:rFonts w:ascii="Calibri" w:hAnsi="Calibri" w:cs="Calibri"/>
          <w:lang w:val="en-GB"/>
        </w:rPr>
      </w:pPr>
    </w:p>
    <w:p w14:paraId="548B77D8" w14:textId="4C03828B" w:rsidR="00192D15" w:rsidRPr="00616282" w:rsidRDefault="00192D15" w:rsidP="0046333A">
      <w:pPr>
        <w:rPr>
          <w:rFonts w:ascii="Calibri" w:hAnsi="Calibri" w:cs="Calibri"/>
          <w:lang w:val="en-GB"/>
        </w:rPr>
      </w:pPr>
      <w:r w:rsidRPr="00616282">
        <w:rPr>
          <w:rFonts w:ascii="Calibri" w:hAnsi="Calibri" w:cs="Calibri"/>
          <w:lang w:val="en-GB"/>
        </w:rPr>
        <w:t xml:space="preserve">The Framework </w:t>
      </w:r>
      <w:r w:rsidR="00637F58" w:rsidRPr="00616282">
        <w:rPr>
          <w:rFonts w:ascii="Calibri" w:hAnsi="Calibri" w:cs="Calibri"/>
          <w:lang w:val="en-GB"/>
        </w:rPr>
        <w:t>is underpinned by the following principles</w:t>
      </w:r>
      <w:r w:rsidR="004638BB" w:rsidRPr="00616282">
        <w:rPr>
          <w:rFonts w:ascii="Calibri" w:hAnsi="Calibri" w:cs="Calibri"/>
          <w:lang w:val="en-GB"/>
        </w:rPr>
        <w:t>:</w:t>
      </w:r>
    </w:p>
    <w:p w14:paraId="7654DE81" w14:textId="77777777" w:rsidR="00637F58" w:rsidRPr="00616282" w:rsidRDefault="00637F58" w:rsidP="00192D15">
      <w:pPr>
        <w:rPr>
          <w:rFonts w:ascii="Calibri" w:hAnsi="Calibri" w:cs="Calibri"/>
          <w:lang w:val="en-GB"/>
        </w:rPr>
      </w:pPr>
    </w:p>
    <w:p w14:paraId="60A53498" w14:textId="4153AE42" w:rsidR="00443015" w:rsidRPr="00616282" w:rsidRDefault="00667A1A" w:rsidP="000B1781">
      <w:pPr>
        <w:pStyle w:val="ListParagraph"/>
        <w:numPr>
          <w:ilvl w:val="0"/>
          <w:numId w:val="39"/>
        </w:numPr>
        <w:jc w:val="both"/>
        <w:rPr>
          <w:rFonts w:ascii="Calibri" w:hAnsi="Calibri" w:cs="Calibri"/>
          <w:b/>
          <w:lang w:val="en-GB"/>
        </w:rPr>
      </w:pPr>
      <w:r w:rsidRPr="00616282">
        <w:rPr>
          <w:rFonts w:ascii="Calibri" w:hAnsi="Calibri" w:cs="Calibri"/>
          <w:b/>
          <w:lang w:val="en-GB"/>
        </w:rPr>
        <w:t xml:space="preserve">Decision-useful: </w:t>
      </w:r>
      <w:r w:rsidR="00DC427C" w:rsidRPr="00616282">
        <w:rPr>
          <w:rFonts w:ascii="Calibri" w:hAnsi="Calibri" w:cs="Calibri"/>
          <w:bCs/>
          <w:lang w:val="en-GB"/>
        </w:rPr>
        <w:t>Decision-useful climate information specifically pertains to climate-related issues. It encompasses data related to a company’s exposure to climate risks, its strategies for managing those risks, and its performance in achieving climate-related goals.</w:t>
      </w:r>
    </w:p>
    <w:p w14:paraId="1BC39698" w14:textId="77777777" w:rsidR="00443015" w:rsidRPr="00616282" w:rsidRDefault="00443015" w:rsidP="00443015">
      <w:pPr>
        <w:rPr>
          <w:rFonts w:ascii="Calibri" w:hAnsi="Calibri" w:cs="Calibri"/>
          <w:b/>
          <w:lang w:val="en-GB"/>
        </w:rPr>
      </w:pPr>
    </w:p>
    <w:p w14:paraId="2BFBF534" w14:textId="2EDFC15D" w:rsidR="00047596" w:rsidRPr="00616282" w:rsidRDefault="00637F58" w:rsidP="00616282">
      <w:pPr>
        <w:pStyle w:val="ListParagraph"/>
        <w:numPr>
          <w:ilvl w:val="0"/>
          <w:numId w:val="39"/>
        </w:numPr>
        <w:jc w:val="both"/>
        <w:rPr>
          <w:rFonts w:ascii="Calibri" w:hAnsi="Calibri" w:cs="Calibri"/>
          <w:lang w:val="en-GB"/>
        </w:rPr>
      </w:pPr>
      <w:r w:rsidRPr="00616282">
        <w:rPr>
          <w:rFonts w:ascii="Calibri" w:hAnsi="Calibri" w:cs="Calibri"/>
          <w:b/>
          <w:lang w:val="en-GB"/>
        </w:rPr>
        <w:t>Proportionality:</w:t>
      </w:r>
      <w:r w:rsidRPr="00616282">
        <w:rPr>
          <w:rFonts w:ascii="Calibri" w:hAnsi="Calibri" w:cs="Calibri"/>
          <w:lang w:val="en-GB"/>
        </w:rPr>
        <w:t xml:space="preserve"> </w:t>
      </w:r>
      <w:r w:rsidR="00CC3D17">
        <w:rPr>
          <w:rFonts w:ascii="Calibri" w:hAnsi="Calibri" w:cs="Calibri"/>
          <w:lang w:val="en-GB"/>
        </w:rPr>
        <w:t xml:space="preserve">Proportionality </w:t>
      </w:r>
      <w:r w:rsidR="00D15DEC" w:rsidRPr="00616282">
        <w:rPr>
          <w:rFonts w:ascii="Calibri" w:hAnsi="Calibri" w:cs="Calibri"/>
          <w:lang w:val="en-GB"/>
        </w:rPr>
        <w:t xml:space="preserve">should be considered more holistically and not only </w:t>
      </w:r>
      <w:r w:rsidR="002666C8" w:rsidRPr="00616282">
        <w:rPr>
          <w:rFonts w:ascii="Calibri" w:hAnsi="Calibri" w:cs="Calibri"/>
          <w:lang w:val="en-GB"/>
        </w:rPr>
        <w:t>regarding</w:t>
      </w:r>
      <w:r w:rsidR="00D15DEC" w:rsidRPr="00616282">
        <w:rPr>
          <w:rFonts w:ascii="Calibri" w:hAnsi="Calibri" w:cs="Calibri"/>
          <w:lang w:val="en-GB"/>
        </w:rPr>
        <w:t xml:space="preserve"> the size of the institution. Proportionality </w:t>
      </w:r>
      <w:r w:rsidR="00DE5A64" w:rsidRPr="00616282">
        <w:rPr>
          <w:rFonts w:ascii="Calibri" w:hAnsi="Calibri" w:cs="Calibri"/>
          <w:lang w:val="en-GB"/>
        </w:rPr>
        <w:t>shall be</w:t>
      </w:r>
      <w:r w:rsidR="00D15DEC" w:rsidRPr="00616282">
        <w:rPr>
          <w:rFonts w:ascii="Calibri" w:hAnsi="Calibri" w:cs="Calibri"/>
          <w:lang w:val="en-GB"/>
        </w:rPr>
        <w:t xml:space="preserve"> linked to the business model and risk profile of a bank</w:t>
      </w:r>
      <w:r w:rsidR="00CC3D17">
        <w:rPr>
          <w:rFonts w:ascii="Calibri" w:hAnsi="Calibri" w:cs="Calibri"/>
          <w:lang w:val="en-GB"/>
        </w:rPr>
        <w:t>,</w:t>
      </w:r>
      <w:r w:rsidR="00D15DEC" w:rsidRPr="00616282">
        <w:rPr>
          <w:rFonts w:ascii="Calibri" w:hAnsi="Calibri" w:cs="Calibri"/>
          <w:lang w:val="en-GB"/>
        </w:rPr>
        <w:t xml:space="preserve"> as well as to cost benefits and scope considerations</w:t>
      </w:r>
      <w:r w:rsidR="00B43C51" w:rsidRPr="00616282">
        <w:rPr>
          <w:rFonts w:ascii="Calibri" w:hAnsi="Calibri" w:cs="Calibri"/>
          <w:lang w:val="en-GB"/>
        </w:rPr>
        <w:t xml:space="preserve">. This is also in line with IFRS guidance in confirming the consideration of an entity’s skills, </w:t>
      </w:r>
      <w:r w:rsidR="00047596" w:rsidRPr="00616282">
        <w:rPr>
          <w:rFonts w:ascii="Calibri" w:hAnsi="Calibri" w:cs="Calibri"/>
          <w:lang w:val="en-GB"/>
        </w:rPr>
        <w:t>capabilities, and resources.</w:t>
      </w:r>
    </w:p>
    <w:p w14:paraId="11FD9869" w14:textId="77777777" w:rsidR="00047596" w:rsidRPr="00616282" w:rsidRDefault="00047596">
      <w:pPr>
        <w:rPr>
          <w:rFonts w:ascii="Calibri" w:hAnsi="Calibri" w:cs="Calibri"/>
          <w:lang w:val="en-GB"/>
        </w:rPr>
      </w:pPr>
    </w:p>
    <w:p w14:paraId="2FF95DD6" w14:textId="0982BD46" w:rsidR="00670FDA" w:rsidRPr="00616282" w:rsidRDefault="00670FDA" w:rsidP="000B1781">
      <w:pPr>
        <w:pStyle w:val="ListParagraph"/>
        <w:numPr>
          <w:ilvl w:val="0"/>
          <w:numId w:val="39"/>
        </w:numPr>
        <w:jc w:val="both"/>
        <w:rPr>
          <w:rFonts w:ascii="Calibri" w:hAnsi="Calibri" w:cs="Calibri"/>
          <w:lang w:val="en-GB"/>
        </w:rPr>
      </w:pPr>
      <w:r w:rsidRPr="00616282">
        <w:rPr>
          <w:rFonts w:ascii="Calibri" w:hAnsi="Calibri" w:cs="Calibri"/>
          <w:b/>
          <w:lang w:val="en-GB"/>
        </w:rPr>
        <w:t>Materiality:</w:t>
      </w:r>
      <w:r w:rsidR="009E7801" w:rsidRPr="00616282">
        <w:rPr>
          <w:rFonts w:ascii="Calibri" w:hAnsi="Calibri" w:cs="Calibri"/>
          <w:b/>
          <w:lang w:val="en-GB"/>
        </w:rPr>
        <w:t xml:space="preserve"> </w:t>
      </w:r>
      <w:r w:rsidR="009E7801" w:rsidRPr="00616282">
        <w:rPr>
          <w:rFonts w:ascii="Calibri" w:hAnsi="Calibri" w:cs="Calibri"/>
          <w:lang w:val="en-GB"/>
        </w:rPr>
        <w:t>Per the IFRS, i</w:t>
      </w:r>
      <w:r w:rsidR="00783D02" w:rsidRPr="00616282">
        <w:rPr>
          <w:rFonts w:ascii="Calibri" w:hAnsi="Calibri" w:cs="Calibri"/>
          <w:lang w:val="en-GB"/>
        </w:rPr>
        <w:t xml:space="preserve">nformation is material if omitting, </w:t>
      </w:r>
      <w:r w:rsidR="00381067" w:rsidRPr="00616282">
        <w:rPr>
          <w:rFonts w:ascii="Calibri" w:hAnsi="Calibri" w:cs="Calibri"/>
          <w:lang w:val="en-GB"/>
        </w:rPr>
        <w:t>misstating</w:t>
      </w:r>
      <w:r w:rsidR="00CC3D17">
        <w:rPr>
          <w:rFonts w:ascii="Calibri" w:hAnsi="Calibri" w:cs="Calibri"/>
          <w:lang w:val="en-GB"/>
        </w:rPr>
        <w:t>,</w:t>
      </w:r>
      <w:r w:rsidR="00381067" w:rsidRPr="00616282">
        <w:rPr>
          <w:rFonts w:ascii="Calibri" w:hAnsi="Calibri" w:cs="Calibri"/>
          <w:lang w:val="en-GB"/>
        </w:rPr>
        <w:t xml:space="preserve"> or</w:t>
      </w:r>
      <w:r w:rsidR="00783D02" w:rsidRPr="00616282">
        <w:rPr>
          <w:rFonts w:ascii="Calibri" w:hAnsi="Calibri" w:cs="Calibri"/>
          <w:lang w:val="en-GB"/>
        </w:rPr>
        <w:t xml:space="preserve"> obscuring it could reasonably be expected to influence decisions that the primary users of </w:t>
      </w:r>
      <w:r w:rsidR="00B720D9" w:rsidRPr="00616282">
        <w:rPr>
          <w:rFonts w:ascii="Calibri" w:hAnsi="Calibri" w:cs="Calibri"/>
          <w:lang w:val="en-GB"/>
        </w:rPr>
        <w:t>general-purpose</w:t>
      </w:r>
      <w:r w:rsidR="00783D02" w:rsidRPr="00616282">
        <w:rPr>
          <w:rFonts w:ascii="Calibri" w:hAnsi="Calibri" w:cs="Calibri"/>
          <w:lang w:val="en-GB"/>
        </w:rPr>
        <w:t xml:space="preserve"> financial statements make </w:t>
      </w:r>
      <w:r w:rsidR="002666C8" w:rsidRPr="00616282">
        <w:rPr>
          <w:rFonts w:ascii="Calibri" w:hAnsi="Calibri" w:cs="Calibri"/>
          <w:lang w:val="en-GB"/>
        </w:rPr>
        <w:t>based on</w:t>
      </w:r>
      <w:r w:rsidR="00783D02" w:rsidRPr="00616282">
        <w:rPr>
          <w:rFonts w:ascii="Calibri" w:hAnsi="Calibri" w:cs="Calibri"/>
          <w:lang w:val="en-GB"/>
        </w:rPr>
        <w:t xml:space="preserve"> </w:t>
      </w:r>
      <w:r w:rsidR="00CC3D17">
        <w:rPr>
          <w:rFonts w:ascii="Calibri" w:hAnsi="Calibri" w:cs="Calibri"/>
          <w:lang w:val="en-GB"/>
        </w:rPr>
        <w:t>that</w:t>
      </w:r>
      <w:r w:rsidR="00CC3D17" w:rsidRPr="00616282">
        <w:rPr>
          <w:rFonts w:ascii="Calibri" w:hAnsi="Calibri" w:cs="Calibri"/>
          <w:lang w:val="en-GB"/>
        </w:rPr>
        <w:t xml:space="preserve"> </w:t>
      </w:r>
      <w:r w:rsidR="00783D02" w:rsidRPr="00616282">
        <w:rPr>
          <w:rFonts w:ascii="Calibri" w:hAnsi="Calibri" w:cs="Calibri"/>
          <w:lang w:val="en-GB"/>
        </w:rPr>
        <w:t xml:space="preserve">financial </w:t>
      </w:r>
      <w:r w:rsidR="00CC3D17">
        <w:rPr>
          <w:rFonts w:ascii="Calibri" w:hAnsi="Calibri" w:cs="Calibri"/>
          <w:lang w:val="en-GB"/>
        </w:rPr>
        <w:t>information</w:t>
      </w:r>
      <w:r w:rsidR="00783D02" w:rsidRPr="00616282">
        <w:rPr>
          <w:rFonts w:ascii="Calibri" w:hAnsi="Calibri" w:cs="Calibri"/>
          <w:lang w:val="en-GB"/>
        </w:rPr>
        <w:t>, which provide</w:t>
      </w:r>
      <w:r w:rsidR="00CC3D17">
        <w:rPr>
          <w:rFonts w:ascii="Calibri" w:hAnsi="Calibri" w:cs="Calibri"/>
          <w:lang w:val="en-GB"/>
        </w:rPr>
        <w:t>s</w:t>
      </w:r>
      <w:r w:rsidR="00783D02" w:rsidRPr="00616282">
        <w:rPr>
          <w:rFonts w:ascii="Calibri" w:hAnsi="Calibri" w:cs="Calibri"/>
          <w:lang w:val="en-GB"/>
        </w:rPr>
        <w:t xml:space="preserve"> </w:t>
      </w:r>
      <w:r w:rsidR="00CC3D17">
        <w:rPr>
          <w:rFonts w:ascii="Calibri" w:hAnsi="Calibri" w:cs="Calibri"/>
          <w:lang w:val="en-GB"/>
        </w:rPr>
        <w:t>details</w:t>
      </w:r>
      <w:r w:rsidR="00783D02" w:rsidRPr="00616282">
        <w:rPr>
          <w:rFonts w:ascii="Calibri" w:hAnsi="Calibri" w:cs="Calibri"/>
          <w:lang w:val="en-GB"/>
        </w:rPr>
        <w:t xml:space="preserve"> about a specific reporting entity.</w:t>
      </w:r>
      <w:r w:rsidR="00E93139" w:rsidRPr="00616282">
        <w:rPr>
          <w:rFonts w:ascii="Calibri" w:hAnsi="Calibri" w:cs="Calibri"/>
          <w:lang w:val="en-GB"/>
        </w:rPr>
        <w:t xml:space="preserve"> </w:t>
      </w:r>
      <w:r w:rsidR="00E344CD" w:rsidRPr="00616282">
        <w:rPr>
          <w:rFonts w:ascii="Calibri" w:hAnsi="Calibri" w:cs="Calibri"/>
          <w:lang w:val="en-GB"/>
        </w:rPr>
        <w:t xml:space="preserve">It shall be highlighted that </w:t>
      </w:r>
      <w:r w:rsidR="00E93139" w:rsidRPr="00616282">
        <w:rPr>
          <w:rFonts w:ascii="Calibri" w:hAnsi="Calibri" w:cs="Calibri"/>
          <w:lang w:val="en-GB"/>
        </w:rPr>
        <w:t>information about a climate-related risk or opportunity that has not yet affected the bank’s financial statements may still be considered material – e.g.</w:t>
      </w:r>
      <w:r w:rsidR="00CC3D17">
        <w:rPr>
          <w:rFonts w:ascii="Calibri" w:hAnsi="Calibri" w:cs="Calibri"/>
          <w:lang w:val="en-GB"/>
        </w:rPr>
        <w:t>,</w:t>
      </w:r>
      <w:r w:rsidR="00E93139" w:rsidRPr="00616282">
        <w:rPr>
          <w:rFonts w:ascii="Calibri" w:hAnsi="Calibri" w:cs="Calibri"/>
          <w:lang w:val="en-GB"/>
        </w:rPr>
        <w:t xml:space="preserve"> because it provides insight into the resilience of the bank’s business model</w:t>
      </w:r>
      <w:r w:rsidR="00CC3D17">
        <w:rPr>
          <w:rFonts w:ascii="Calibri" w:hAnsi="Calibri" w:cs="Calibri"/>
          <w:lang w:val="en-GB"/>
        </w:rPr>
        <w:t>. Additionally,</w:t>
      </w:r>
      <w:r w:rsidR="00E93139" w:rsidRPr="00616282">
        <w:rPr>
          <w:rFonts w:ascii="Calibri" w:hAnsi="Calibri" w:cs="Calibri"/>
          <w:lang w:val="en-GB"/>
        </w:rPr>
        <w:t xml:space="preserve"> information about the </w:t>
      </w:r>
      <w:r w:rsidR="00E344CD" w:rsidRPr="00616282">
        <w:rPr>
          <w:rFonts w:ascii="Calibri" w:hAnsi="Calibri" w:cs="Calibri"/>
          <w:lang w:val="en-GB"/>
        </w:rPr>
        <w:t>bank</w:t>
      </w:r>
      <w:r w:rsidR="00E93139" w:rsidRPr="00616282">
        <w:rPr>
          <w:rFonts w:ascii="Calibri" w:hAnsi="Calibri" w:cs="Calibri"/>
          <w:lang w:val="en-GB"/>
        </w:rPr>
        <w:t>’s exposure to future events (e.g.</w:t>
      </w:r>
      <w:r w:rsidR="00CC3D17">
        <w:rPr>
          <w:rFonts w:ascii="Calibri" w:hAnsi="Calibri" w:cs="Calibri"/>
          <w:lang w:val="en-GB"/>
        </w:rPr>
        <w:t>,</w:t>
      </w:r>
      <w:r w:rsidR="00E93139" w:rsidRPr="00616282">
        <w:rPr>
          <w:rFonts w:ascii="Calibri" w:hAnsi="Calibri" w:cs="Calibri"/>
          <w:lang w:val="en-GB"/>
        </w:rPr>
        <w:t xml:space="preserve"> possible regulatory changes) may be material, even though the potential outcome is uncertain.</w:t>
      </w:r>
    </w:p>
    <w:p w14:paraId="0A0778D0" w14:textId="77777777" w:rsidR="009A11F4" w:rsidRPr="00616282" w:rsidRDefault="009A11F4" w:rsidP="009A11F4">
      <w:pPr>
        <w:jc w:val="both"/>
        <w:rPr>
          <w:rFonts w:ascii="Calibri" w:hAnsi="Calibri" w:cs="Calibri"/>
          <w:lang w:val="en-GB"/>
        </w:rPr>
      </w:pPr>
    </w:p>
    <w:p w14:paraId="5C79A1A2" w14:textId="3E1ED607" w:rsidR="009A11F4" w:rsidRPr="00616282" w:rsidRDefault="009A11F4" w:rsidP="00DC427C">
      <w:pPr>
        <w:pStyle w:val="ListParagraph"/>
        <w:numPr>
          <w:ilvl w:val="0"/>
          <w:numId w:val="39"/>
        </w:numPr>
        <w:jc w:val="both"/>
        <w:rPr>
          <w:rFonts w:ascii="Calibri" w:hAnsi="Calibri" w:cs="Calibri"/>
          <w:lang w:val="en-GB"/>
        </w:rPr>
      </w:pPr>
      <w:r w:rsidRPr="00616282">
        <w:rPr>
          <w:rFonts w:ascii="Calibri" w:hAnsi="Calibri" w:cs="Calibri"/>
          <w:b/>
          <w:bCs/>
          <w:lang w:val="en-GB"/>
        </w:rPr>
        <w:t>Methodol</w:t>
      </w:r>
      <w:r w:rsidR="008410E2" w:rsidRPr="00616282">
        <w:rPr>
          <w:rFonts w:ascii="Calibri" w:hAnsi="Calibri" w:cs="Calibri"/>
          <w:b/>
          <w:bCs/>
          <w:lang w:val="en-GB"/>
        </w:rPr>
        <w:t>og</w:t>
      </w:r>
      <w:r w:rsidRPr="00616282">
        <w:rPr>
          <w:rFonts w:ascii="Calibri" w:hAnsi="Calibri" w:cs="Calibri"/>
          <w:b/>
          <w:bCs/>
          <w:lang w:val="en-GB"/>
        </w:rPr>
        <w:t>ical flexibility</w:t>
      </w:r>
      <w:r w:rsidRPr="00616282">
        <w:rPr>
          <w:rFonts w:ascii="Calibri" w:hAnsi="Calibri" w:cs="Calibri"/>
          <w:lang w:val="en-GB"/>
        </w:rPr>
        <w:t xml:space="preserve">: </w:t>
      </w:r>
      <w:r w:rsidR="00701119" w:rsidRPr="00616282">
        <w:rPr>
          <w:rFonts w:ascii="Calibri" w:hAnsi="Calibri" w:cs="Calibri"/>
          <w:lang w:val="en-GB"/>
        </w:rPr>
        <w:t>Noting the evolving</w:t>
      </w:r>
      <w:r w:rsidR="009E73D2">
        <w:rPr>
          <w:rFonts w:ascii="Calibri" w:hAnsi="Calibri" w:cs="Calibri"/>
          <w:lang w:val="en-GB"/>
        </w:rPr>
        <w:t xml:space="preserve"> nature of</w:t>
      </w:r>
      <w:r w:rsidR="00701119" w:rsidRPr="00616282">
        <w:rPr>
          <w:rFonts w:ascii="Calibri" w:hAnsi="Calibri" w:cs="Calibri"/>
          <w:lang w:val="en-GB"/>
        </w:rPr>
        <w:t xml:space="preserve"> </w:t>
      </w:r>
      <w:r w:rsidR="007E217F" w:rsidRPr="00616282">
        <w:rPr>
          <w:rFonts w:ascii="Calibri" w:hAnsi="Calibri" w:cs="Calibri"/>
          <w:lang w:val="en-GB"/>
        </w:rPr>
        <w:t xml:space="preserve">climate risk </w:t>
      </w:r>
      <w:r w:rsidR="004A73D9" w:rsidRPr="00616282">
        <w:rPr>
          <w:rFonts w:ascii="Calibri" w:hAnsi="Calibri" w:cs="Calibri"/>
          <w:lang w:val="en-GB"/>
        </w:rPr>
        <w:t>practice</w:t>
      </w:r>
      <w:r w:rsidR="00CC3D17">
        <w:rPr>
          <w:rFonts w:ascii="Calibri" w:hAnsi="Calibri" w:cs="Calibri"/>
          <w:lang w:val="en-GB"/>
        </w:rPr>
        <w:t>,</w:t>
      </w:r>
      <w:r w:rsidR="004A73D9" w:rsidRPr="00616282">
        <w:rPr>
          <w:rFonts w:ascii="Calibri" w:hAnsi="Calibri" w:cs="Calibri"/>
          <w:lang w:val="en-GB"/>
        </w:rPr>
        <w:t xml:space="preserve"> the Framework seeks to</w:t>
      </w:r>
      <w:r w:rsidRPr="00616282">
        <w:rPr>
          <w:rFonts w:ascii="Calibri" w:hAnsi="Calibri" w:cs="Calibri"/>
          <w:lang w:val="en-GB"/>
        </w:rPr>
        <w:t xml:space="preserve"> avoid disruption by </w:t>
      </w:r>
      <w:r w:rsidR="00036D7A" w:rsidRPr="00616282">
        <w:rPr>
          <w:rFonts w:ascii="Calibri" w:hAnsi="Calibri" w:cs="Calibri"/>
          <w:lang w:val="en-GB"/>
        </w:rPr>
        <w:t xml:space="preserve">prescribing </w:t>
      </w:r>
      <w:r w:rsidR="009E73D2">
        <w:rPr>
          <w:rFonts w:ascii="Calibri" w:hAnsi="Calibri" w:cs="Calibri"/>
          <w:lang w:val="en-GB"/>
        </w:rPr>
        <w:t xml:space="preserve">the </w:t>
      </w:r>
      <w:r w:rsidR="00036D7A" w:rsidRPr="00616282">
        <w:rPr>
          <w:rFonts w:ascii="Calibri" w:hAnsi="Calibri" w:cs="Calibri"/>
          <w:lang w:val="en-GB"/>
        </w:rPr>
        <w:t xml:space="preserve">use of </w:t>
      </w:r>
      <w:r w:rsidR="009E73D2">
        <w:rPr>
          <w:rFonts w:ascii="Calibri" w:hAnsi="Calibri" w:cs="Calibri"/>
          <w:lang w:val="en-GB"/>
        </w:rPr>
        <w:t xml:space="preserve">specific </w:t>
      </w:r>
      <w:r w:rsidR="00BC1610" w:rsidRPr="00616282">
        <w:rPr>
          <w:rFonts w:ascii="Calibri" w:hAnsi="Calibri" w:cs="Calibri"/>
          <w:lang w:val="en-GB"/>
        </w:rPr>
        <w:t>methodologies</w:t>
      </w:r>
      <w:r w:rsidR="009E73D2">
        <w:rPr>
          <w:rFonts w:ascii="Calibri" w:hAnsi="Calibri" w:cs="Calibri"/>
          <w:lang w:val="en-GB"/>
        </w:rPr>
        <w:t>.</w:t>
      </w:r>
      <w:r w:rsidR="00036D7A" w:rsidRPr="00616282">
        <w:rPr>
          <w:rFonts w:ascii="Calibri" w:hAnsi="Calibri" w:cs="Calibri"/>
          <w:lang w:val="en-GB"/>
        </w:rPr>
        <w:t xml:space="preserve"> </w:t>
      </w:r>
      <w:r w:rsidR="009E73D2">
        <w:rPr>
          <w:rFonts w:ascii="Calibri" w:hAnsi="Calibri" w:cs="Calibri"/>
          <w:lang w:val="en-GB"/>
        </w:rPr>
        <w:t>H</w:t>
      </w:r>
      <w:r w:rsidR="00036D7A" w:rsidRPr="00616282">
        <w:rPr>
          <w:rFonts w:ascii="Calibri" w:hAnsi="Calibri" w:cs="Calibri"/>
          <w:lang w:val="en-GB"/>
        </w:rPr>
        <w:t>owever</w:t>
      </w:r>
      <w:r w:rsidR="009E73D2">
        <w:rPr>
          <w:rFonts w:ascii="Calibri" w:hAnsi="Calibri" w:cs="Calibri"/>
          <w:lang w:val="en-GB"/>
        </w:rPr>
        <w:t>, it is</w:t>
      </w:r>
      <w:r w:rsidR="00036D7A" w:rsidRPr="00616282">
        <w:rPr>
          <w:rFonts w:ascii="Calibri" w:hAnsi="Calibri" w:cs="Calibri"/>
          <w:lang w:val="en-GB"/>
        </w:rPr>
        <w:t xml:space="preserve"> mindful that </w:t>
      </w:r>
      <w:r w:rsidR="009E73D2">
        <w:rPr>
          <w:rFonts w:ascii="Calibri" w:hAnsi="Calibri" w:cs="Calibri"/>
          <w:lang w:val="en-GB"/>
        </w:rPr>
        <w:t xml:space="preserve">allowing the banking sector to </w:t>
      </w:r>
      <w:r w:rsidR="00357E48" w:rsidRPr="00616282">
        <w:rPr>
          <w:rFonts w:ascii="Calibri" w:hAnsi="Calibri" w:cs="Calibri"/>
          <w:lang w:val="en-GB"/>
        </w:rPr>
        <w:t>pick and choos</w:t>
      </w:r>
      <w:r w:rsidR="009E73D2">
        <w:rPr>
          <w:rFonts w:ascii="Calibri" w:hAnsi="Calibri" w:cs="Calibri"/>
          <w:lang w:val="en-GB"/>
        </w:rPr>
        <w:t>e</w:t>
      </w:r>
      <w:r w:rsidR="00357E48" w:rsidRPr="00616282">
        <w:rPr>
          <w:rFonts w:ascii="Calibri" w:hAnsi="Calibri" w:cs="Calibri"/>
          <w:lang w:val="en-GB"/>
        </w:rPr>
        <w:t xml:space="preserve"> methods could give rise </w:t>
      </w:r>
      <w:r w:rsidRPr="00616282">
        <w:rPr>
          <w:rFonts w:ascii="Calibri" w:hAnsi="Calibri" w:cs="Calibri"/>
          <w:lang w:val="en-GB"/>
        </w:rPr>
        <w:t xml:space="preserve">greenwashing risk. </w:t>
      </w:r>
      <w:r w:rsidR="009E73D2">
        <w:rPr>
          <w:rFonts w:ascii="Calibri" w:hAnsi="Calibri" w:cs="Calibri"/>
          <w:lang w:val="en-GB"/>
        </w:rPr>
        <w:t>Therefore, t</w:t>
      </w:r>
      <w:r w:rsidRPr="00616282">
        <w:rPr>
          <w:rFonts w:ascii="Calibri" w:hAnsi="Calibri" w:cs="Calibri"/>
          <w:lang w:val="en-GB"/>
        </w:rPr>
        <w:t xml:space="preserve">his </w:t>
      </w:r>
      <w:r w:rsidR="009E73D2">
        <w:rPr>
          <w:rFonts w:ascii="Calibri" w:hAnsi="Calibri" w:cs="Calibri"/>
          <w:lang w:val="en-GB"/>
        </w:rPr>
        <w:t xml:space="preserve">methodological </w:t>
      </w:r>
      <w:r w:rsidRPr="00616282">
        <w:rPr>
          <w:rFonts w:ascii="Calibri" w:hAnsi="Calibri" w:cs="Calibri"/>
          <w:lang w:val="en-GB"/>
        </w:rPr>
        <w:t>flexibility</w:t>
      </w:r>
      <w:r w:rsidR="001A0DC2" w:rsidRPr="00616282">
        <w:rPr>
          <w:rFonts w:ascii="Calibri" w:hAnsi="Calibri" w:cs="Calibri"/>
          <w:lang w:val="en-GB"/>
        </w:rPr>
        <w:t xml:space="preserve"> shall mainly</w:t>
      </w:r>
      <w:r w:rsidRPr="00616282">
        <w:rPr>
          <w:rFonts w:ascii="Calibri" w:hAnsi="Calibri" w:cs="Calibri"/>
          <w:lang w:val="en-GB"/>
        </w:rPr>
        <w:t xml:space="preserve"> apply to the use of proxies </w:t>
      </w:r>
      <w:r w:rsidR="00BC1610" w:rsidRPr="00616282">
        <w:rPr>
          <w:rFonts w:ascii="Calibri" w:hAnsi="Calibri" w:cs="Calibri"/>
          <w:lang w:val="en-GB"/>
        </w:rPr>
        <w:t>where</w:t>
      </w:r>
      <w:r w:rsidRPr="00616282">
        <w:rPr>
          <w:rFonts w:ascii="Calibri" w:hAnsi="Calibri" w:cs="Calibri"/>
          <w:lang w:val="en-GB"/>
        </w:rPr>
        <w:t xml:space="preserve"> reliable data</w:t>
      </w:r>
      <w:r w:rsidR="005E2C91" w:rsidRPr="00616282">
        <w:rPr>
          <w:rFonts w:ascii="Calibri" w:hAnsi="Calibri" w:cs="Calibri"/>
          <w:lang w:val="en-GB"/>
        </w:rPr>
        <w:t xml:space="preserve"> is unavailable</w:t>
      </w:r>
      <w:r w:rsidRPr="00616282">
        <w:rPr>
          <w:rFonts w:ascii="Calibri" w:hAnsi="Calibri" w:cs="Calibri"/>
          <w:lang w:val="en-GB"/>
        </w:rPr>
        <w:t>.</w:t>
      </w:r>
      <w:r w:rsidR="0091436B" w:rsidRPr="00616282">
        <w:rPr>
          <w:rFonts w:ascii="Calibri" w:hAnsi="Calibri" w:cs="Calibri"/>
          <w:lang w:val="en-GB"/>
        </w:rPr>
        <w:t xml:space="preserve"> </w:t>
      </w:r>
      <w:r w:rsidR="005E2C91" w:rsidRPr="00616282">
        <w:rPr>
          <w:rFonts w:ascii="Calibri" w:hAnsi="Calibri" w:cs="Calibri"/>
          <w:lang w:val="en-GB"/>
        </w:rPr>
        <w:t>The Framework provides banks with</w:t>
      </w:r>
      <w:r w:rsidRPr="00616282">
        <w:rPr>
          <w:rFonts w:ascii="Calibri" w:hAnsi="Calibri" w:cs="Calibri"/>
          <w:lang w:val="en-GB"/>
        </w:rPr>
        <w:t xml:space="preserve"> </w:t>
      </w:r>
      <w:r w:rsidR="005E2C91" w:rsidRPr="00616282">
        <w:rPr>
          <w:rFonts w:ascii="Calibri" w:hAnsi="Calibri" w:cs="Calibri"/>
          <w:lang w:val="en-GB"/>
        </w:rPr>
        <w:t xml:space="preserve">some </w:t>
      </w:r>
      <w:r w:rsidRPr="00616282">
        <w:rPr>
          <w:rFonts w:ascii="Calibri" w:hAnsi="Calibri" w:cs="Calibri"/>
          <w:lang w:val="en-GB"/>
        </w:rPr>
        <w:t xml:space="preserve">leeway in defining their </w:t>
      </w:r>
      <w:r w:rsidR="00B7558A" w:rsidRPr="00B7558A">
        <w:rPr>
          <w:rFonts w:ascii="Calibri" w:hAnsi="Calibri" w:cs="Calibri"/>
          <w:lang w:val="en-GB"/>
        </w:rPr>
        <w:t xml:space="preserve">Environmental, Social, and Governance </w:t>
      </w:r>
      <w:r w:rsidR="00B7558A">
        <w:rPr>
          <w:rFonts w:ascii="Calibri" w:hAnsi="Calibri" w:cs="Calibri"/>
          <w:lang w:val="en-GB"/>
        </w:rPr>
        <w:t>(</w:t>
      </w:r>
      <w:r w:rsidRPr="00616282">
        <w:rPr>
          <w:rFonts w:ascii="Calibri" w:hAnsi="Calibri" w:cs="Calibri"/>
          <w:lang w:val="en-GB"/>
        </w:rPr>
        <w:t>ESG</w:t>
      </w:r>
      <w:r w:rsidR="00B7558A">
        <w:rPr>
          <w:rFonts w:ascii="Calibri" w:hAnsi="Calibri" w:cs="Calibri"/>
          <w:lang w:val="en-GB"/>
        </w:rPr>
        <w:t>)</w:t>
      </w:r>
      <w:r w:rsidRPr="00616282">
        <w:rPr>
          <w:rFonts w:ascii="Calibri" w:hAnsi="Calibri" w:cs="Calibri"/>
          <w:lang w:val="en-GB"/>
        </w:rPr>
        <w:t xml:space="preserve"> risk appetite, </w:t>
      </w:r>
      <w:r w:rsidR="009C4B32" w:rsidRPr="00616282">
        <w:rPr>
          <w:rFonts w:ascii="Calibri" w:hAnsi="Calibri" w:cs="Calibri"/>
          <w:lang w:val="en-GB"/>
        </w:rPr>
        <w:t>metrics,</w:t>
      </w:r>
      <w:r w:rsidRPr="00616282">
        <w:rPr>
          <w:rFonts w:ascii="Calibri" w:hAnsi="Calibri" w:cs="Calibri"/>
          <w:lang w:val="en-GB"/>
        </w:rPr>
        <w:t xml:space="preserve"> and targets. </w:t>
      </w:r>
      <w:r w:rsidR="00B65D00" w:rsidRPr="00616282">
        <w:rPr>
          <w:rFonts w:ascii="Calibri" w:hAnsi="Calibri" w:cs="Calibri"/>
          <w:lang w:val="en-GB"/>
        </w:rPr>
        <w:t>Similarly, banks are given</w:t>
      </w:r>
      <w:r w:rsidRPr="00616282">
        <w:rPr>
          <w:rFonts w:ascii="Calibri" w:hAnsi="Calibri" w:cs="Calibri"/>
          <w:lang w:val="en-GB"/>
        </w:rPr>
        <w:t xml:space="preserve"> flexibility to run their business model and strategy, including</w:t>
      </w:r>
      <w:r w:rsidR="009E73D2">
        <w:rPr>
          <w:rFonts w:ascii="Calibri" w:hAnsi="Calibri" w:cs="Calibri"/>
          <w:lang w:val="en-GB"/>
        </w:rPr>
        <w:t xml:space="preserve"> their</w:t>
      </w:r>
      <w:r w:rsidRPr="00616282">
        <w:rPr>
          <w:rFonts w:ascii="Calibri" w:hAnsi="Calibri" w:cs="Calibri"/>
          <w:lang w:val="en-GB"/>
        </w:rPr>
        <w:t xml:space="preserve"> decarbonisation strategy, </w:t>
      </w:r>
      <w:proofErr w:type="gramStart"/>
      <w:r w:rsidRPr="00616282">
        <w:rPr>
          <w:rFonts w:ascii="Calibri" w:hAnsi="Calibri" w:cs="Calibri"/>
          <w:lang w:val="en-GB"/>
        </w:rPr>
        <w:t>as long as</w:t>
      </w:r>
      <w:proofErr w:type="gramEnd"/>
      <w:r w:rsidRPr="00616282">
        <w:rPr>
          <w:rFonts w:ascii="Calibri" w:hAnsi="Calibri" w:cs="Calibri"/>
          <w:lang w:val="en-GB"/>
        </w:rPr>
        <w:t xml:space="preserve"> they can demonstrate they have put in place a </w:t>
      </w:r>
      <w:r w:rsidR="009E73D2">
        <w:rPr>
          <w:rFonts w:ascii="Calibri" w:hAnsi="Calibri" w:cs="Calibri"/>
          <w:lang w:val="en-GB"/>
        </w:rPr>
        <w:t xml:space="preserve">sound </w:t>
      </w:r>
      <w:r w:rsidRPr="00616282">
        <w:rPr>
          <w:rFonts w:ascii="Calibri" w:hAnsi="Calibri" w:cs="Calibri"/>
          <w:lang w:val="en-GB"/>
        </w:rPr>
        <w:t xml:space="preserve">governance and risk management framework. </w:t>
      </w:r>
      <w:r w:rsidR="00F338FC" w:rsidRPr="00616282">
        <w:rPr>
          <w:rFonts w:ascii="Calibri" w:hAnsi="Calibri" w:cs="Calibri"/>
          <w:lang w:val="en-GB"/>
        </w:rPr>
        <w:t>The Framework provides</w:t>
      </w:r>
      <w:r w:rsidRPr="00616282">
        <w:rPr>
          <w:rFonts w:ascii="Calibri" w:hAnsi="Calibri" w:cs="Calibri"/>
          <w:lang w:val="en-GB"/>
        </w:rPr>
        <w:t xml:space="preserve"> </w:t>
      </w:r>
      <w:r w:rsidR="00F338FC" w:rsidRPr="00616282">
        <w:rPr>
          <w:rFonts w:ascii="Calibri" w:hAnsi="Calibri" w:cs="Calibri"/>
          <w:lang w:val="en-GB"/>
        </w:rPr>
        <w:t>banks</w:t>
      </w:r>
      <w:r w:rsidRPr="00616282">
        <w:rPr>
          <w:rFonts w:ascii="Calibri" w:hAnsi="Calibri" w:cs="Calibri"/>
          <w:lang w:val="en-GB"/>
        </w:rPr>
        <w:t xml:space="preserve"> </w:t>
      </w:r>
      <w:r w:rsidR="00F338FC" w:rsidRPr="00616282">
        <w:rPr>
          <w:rFonts w:ascii="Calibri" w:hAnsi="Calibri" w:cs="Calibri"/>
          <w:lang w:val="en-GB"/>
        </w:rPr>
        <w:t xml:space="preserve">an opportunity to describe </w:t>
      </w:r>
      <w:r w:rsidR="009E73D2">
        <w:rPr>
          <w:rFonts w:ascii="Calibri" w:hAnsi="Calibri" w:cs="Calibri"/>
          <w:lang w:val="en-GB"/>
        </w:rPr>
        <w:t>the</w:t>
      </w:r>
      <w:r w:rsidR="009E73D2" w:rsidRPr="00616282">
        <w:rPr>
          <w:rFonts w:ascii="Calibri" w:hAnsi="Calibri" w:cs="Calibri"/>
          <w:lang w:val="en-GB"/>
        </w:rPr>
        <w:t xml:space="preserve"> </w:t>
      </w:r>
      <w:r w:rsidRPr="00616282">
        <w:rPr>
          <w:rFonts w:ascii="Calibri" w:hAnsi="Calibri" w:cs="Calibri"/>
          <w:lang w:val="en-GB"/>
        </w:rPr>
        <w:t xml:space="preserve">measures they take to measure and mitigate risks. </w:t>
      </w:r>
    </w:p>
    <w:p w14:paraId="5922336B" w14:textId="77777777" w:rsidR="00B37DD4" w:rsidRPr="00616282" w:rsidRDefault="00B37DD4" w:rsidP="009A11F4">
      <w:pPr>
        <w:jc w:val="both"/>
        <w:rPr>
          <w:rFonts w:ascii="Calibri" w:hAnsi="Calibri" w:cs="Calibri"/>
          <w:lang w:val="en-GB"/>
        </w:rPr>
      </w:pPr>
    </w:p>
    <w:p w14:paraId="0AA9EF24" w14:textId="1922D322" w:rsidR="00B37DD4" w:rsidRPr="00616282" w:rsidRDefault="00B37DD4" w:rsidP="00DC427C">
      <w:pPr>
        <w:pStyle w:val="ListParagraph"/>
        <w:numPr>
          <w:ilvl w:val="0"/>
          <w:numId w:val="39"/>
        </w:numPr>
        <w:jc w:val="both"/>
        <w:rPr>
          <w:rFonts w:ascii="Calibri" w:hAnsi="Calibri" w:cs="Calibri"/>
          <w:lang w:val="en-GB"/>
        </w:rPr>
      </w:pPr>
      <w:r w:rsidRPr="00616282">
        <w:rPr>
          <w:rFonts w:ascii="Calibri" w:hAnsi="Calibri" w:cs="Calibri"/>
          <w:b/>
          <w:bCs/>
          <w:lang w:val="en-GB"/>
        </w:rPr>
        <w:lastRenderedPageBreak/>
        <w:t>Interoperability</w:t>
      </w:r>
      <w:r w:rsidR="00281138" w:rsidRPr="00616282">
        <w:rPr>
          <w:rFonts w:ascii="Calibri" w:hAnsi="Calibri" w:cs="Calibri"/>
          <w:lang w:val="en-GB"/>
        </w:rPr>
        <w:t xml:space="preserve">: </w:t>
      </w:r>
      <w:r w:rsidR="00DC2CDC" w:rsidRPr="00616282">
        <w:rPr>
          <w:rFonts w:ascii="Calibri" w:hAnsi="Calibri" w:cs="Calibri"/>
          <w:lang w:val="en-GB"/>
        </w:rPr>
        <w:t xml:space="preserve">The Framework is modelled on the anticipated </w:t>
      </w:r>
      <w:r w:rsidR="0078156F" w:rsidRPr="00616282">
        <w:rPr>
          <w:rFonts w:ascii="Calibri" w:hAnsi="Calibri" w:cs="Calibri"/>
          <w:lang w:val="en-GB"/>
        </w:rPr>
        <w:t>Basel framework</w:t>
      </w:r>
      <w:r w:rsidR="00441D3B" w:rsidRPr="00616282">
        <w:rPr>
          <w:rFonts w:ascii="Calibri" w:hAnsi="Calibri" w:cs="Calibri"/>
          <w:lang w:val="en-GB"/>
        </w:rPr>
        <w:t xml:space="preserve"> </w:t>
      </w:r>
      <w:r w:rsidR="0028643C" w:rsidRPr="00616282">
        <w:rPr>
          <w:rFonts w:ascii="Calibri" w:hAnsi="Calibri" w:cs="Calibri"/>
          <w:lang w:val="en-GB"/>
        </w:rPr>
        <w:t>for climate-related disclosures under Pillar 3</w:t>
      </w:r>
      <w:r w:rsidR="009E73D2">
        <w:rPr>
          <w:rFonts w:ascii="Calibri" w:hAnsi="Calibri" w:cs="Calibri"/>
          <w:lang w:val="en-GB"/>
        </w:rPr>
        <w:t>,</w:t>
      </w:r>
      <w:r w:rsidR="0028643C" w:rsidRPr="00616282">
        <w:rPr>
          <w:rFonts w:ascii="Calibri" w:hAnsi="Calibri" w:cs="Calibri"/>
          <w:lang w:val="en-GB"/>
        </w:rPr>
        <w:t xml:space="preserve"> </w:t>
      </w:r>
      <w:r w:rsidR="00441D3B" w:rsidRPr="00616282">
        <w:rPr>
          <w:rFonts w:ascii="Calibri" w:hAnsi="Calibri" w:cs="Calibri"/>
          <w:lang w:val="en-GB"/>
        </w:rPr>
        <w:t xml:space="preserve">which will serve as the </w:t>
      </w:r>
      <w:r w:rsidR="0078156F" w:rsidRPr="00616282">
        <w:rPr>
          <w:rFonts w:ascii="Calibri" w:hAnsi="Calibri" w:cs="Calibri"/>
          <w:lang w:val="en-GB"/>
        </w:rPr>
        <w:t>international baseline for financial risk disclosures related to climate</w:t>
      </w:r>
      <w:r w:rsidR="00441D3B" w:rsidRPr="00616282">
        <w:rPr>
          <w:rFonts w:ascii="Calibri" w:hAnsi="Calibri" w:cs="Calibri"/>
          <w:lang w:val="en-GB"/>
        </w:rPr>
        <w:t>.</w:t>
      </w:r>
      <w:r w:rsidR="0078156F" w:rsidRPr="00616282">
        <w:rPr>
          <w:rFonts w:ascii="Calibri" w:hAnsi="Calibri" w:cs="Calibri"/>
          <w:lang w:val="en-GB"/>
        </w:rPr>
        <w:t xml:space="preserve"> </w:t>
      </w:r>
      <w:r w:rsidR="00441D3B" w:rsidRPr="00616282">
        <w:rPr>
          <w:rFonts w:ascii="Calibri" w:hAnsi="Calibri" w:cs="Calibri"/>
          <w:lang w:val="en-GB"/>
        </w:rPr>
        <w:t xml:space="preserve">Furthermore, </w:t>
      </w:r>
      <w:r w:rsidR="00C676C1" w:rsidRPr="00616282">
        <w:rPr>
          <w:rFonts w:ascii="Calibri" w:hAnsi="Calibri" w:cs="Calibri"/>
          <w:lang w:val="en-GB"/>
        </w:rPr>
        <w:t>the Framework seeks to optimize</w:t>
      </w:r>
      <w:r w:rsidR="0078156F" w:rsidRPr="00616282">
        <w:rPr>
          <w:rFonts w:ascii="Calibri" w:hAnsi="Calibri" w:cs="Calibri"/>
          <w:lang w:val="en-GB"/>
        </w:rPr>
        <w:t xml:space="preserve"> interoperability </w:t>
      </w:r>
      <w:r w:rsidR="00B720D9" w:rsidRPr="00616282">
        <w:rPr>
          <w:rFonts w:ascii="Calibri" w:hAnsi="Calibri" w:cs="Calibri"/>
          <w:lang w:val="en-GB"/>
        </w:rPr>
        <w:t>with</w:t>
      </w:r>
      <w:r w:rsidR="0078156F" w:rsidRPr="00616282">
        <w:rPr>
          <w:rFonts w:ascii="Calibri" w:hAnsi="Calibri" w:cs="Calibri"/>
          <w:lang w:val="en-GB"/>
        </w:rPr>
        <w:t xml:space="preserve"> ISSB standards</w:t>
      </w:r>
      <w:r w:rsidR="009E73D2">
        <w:rPr>
          <w:rFonts w:ascii="Calibri" w:hAnsi="Calibri" w:cs="Calibri"/>
          <w:lang w:val="en-GB"/>
        </w:rPr>
        <w:t>,</w:t>
      </w:r>
      <w:r w:rsidR="0078156F" w:rsidRPr="00616282">
        <w:rPr>
          <w:rFonts w:ascii="Calibri" w:hAnsi="Calibri" w:cs="Calibri"/>
          <w:lang w:val="en-GB"/>
        </w:rPr>
        <w:t xml:space="preserve"> </w:t>
      </w:r>
      <w:r w:rsidR="009E73D2">
        <w:rPr>
          <w:rFonts w:ascii="Calibri" w:hAnsi="Calibri" w:cs="Calibri"/>
          <w:lang w:val="en-GB"/>
        </w:rPr>
        <w:t>which</w:t>
      </w:r>
      <w:r w:rsidR="009E73D2" w:rsidRPr="00616282">
        <w:rPr>
          <w:rFonts w:ascii="Calibri" w:hAnsi="Calibri" w:cs="Calibri"/>
          <w:lang w:val="en-GB"/>
        </w:rPr>
        <w:t xml:space="preserve"> </w:t>
      </w:r>
      <w:r w:rsidR="0078156F" w:rsidRPr="00616282">
        <w:rPr>
          <w:rFonts w:ascii="Calibri" w:hAnsi="Calibri" w:cs="Calibri"/>
          <w:lang w:val="en-GB"/>
        </w:rPr>
        <w:t xml:space="preserve">are considered </w:t>
      </w:r>
      <w:r w:rsidR="009E73D2">
        <w:rPr>
          <w:rFonts w:ascii="Calibri" w:hAnsi="Calibri" w:cs="Calibri"/>
          <w:lang w:val="en-GB"/>
        </w:rPr>
        <w:t>the</w:t>
      </w:r>
      <w:r w:rsidR="0078156F" w:rsidRPr="00616282">
        <w:rPr>
          <w:rFonts w:ascii="Calibri" w:hAnsi="Calibri" w:cs="Calibri"/>
          <w:lang w:val="en-GB"/>
        </w:rPr>
        <w:t xml:space="preserve"> baseline for climate-related corporate disclosures. </w:t>
      </w:r>
      <w:r w:rsidR="00C676C1" w:rsidRPr="00616282">
        <w:rPr>
          <w:rFonts w:ascii="Calibri" w:hAnsi="Calibri" w:cs="Calibri"/>
          <w:lang w:val="en-GB"/>
        </w:rPr>
        <w:t>There will be some</w:t>
      </w:r>
      <w:r w:rsidR="0078156F" w:rsidRPr="00616282">
        <w:rPr>
          <w:rFonts w:ascii="Calibri" w:hAnsi="Calibri" w:cs="Calibri"/>
          <w:lang w:val="en-GB"/>
        </w:rPr>
        <w:t xml:space="preserve"> unavoidable overlaps</w:t>
      </w:r>
      <w:r w:rsidR="00C676C1" w:rsidRPr="00616282">
        <w:rPr>
          <w:rFonts w:ascii="Calibri" w:hAnsi="Calibri" w:cs="Calibri"/>
          <w:lang w:val="en-GB"/>
        </w:rPr>
        <w:t xml:space="preserve"> for which the CBK will provide</w:t>
      </w:r>
      <w:r w:rsidR="0078156F" w:rsidRPr="00616282">
        <w:rPr>
          <w:rFonts w:ascii="Calibri" w:hAnsi="Calibri" w:cs="Calibri"/>
          <w:lang w:val="en-GB"/>
        </w:rPr>
        <w:t xml:space="preserve"> cross-referencing </w:t>
      </w:r>
      <w:r w:rsidR="002B48CA" w:rsidRPr="00616282">
        <w:rPr>
          <w:rFonts w:ascii="Calibri" w:hAnsi="Calibri" w:cs="Calibri"/>
          <w:lang w:val="en-GB"/>
        </w:rPr>
        <w:t>and will be</w:t>
      </w:r>
      <w:r w:rsidR="0078156F" w:rsidRPr="00616282">
        <w:rPr>
          <w:rFonts w:ascii="Calibri" w:hAnsi="Calibri" w:cs="Calibri"/>
          <w:lang w:val="en-GB"/>
        </w:rPr>
        <w:t xml:space="preserve"> specifically highlighted in the </w:t>
      </w:r>
      <w:r w:rsidR="009C422E" w:rsidRPr="00616282">
        <w:rPr>
          <w:rFonts w:ascii="Calibri" w:hAnsi="Calibri" w:cs="Calibri"/>
          <w:lang w:val="en-GB"/>
        </w:rPr>
        <w:t>Framework Reporting Templates</w:t>
      </w:r>
      <w:r w:rsidR="009E73D2">
        <w:rPr>
          <w:rFonts w:ascii="Calibri" w:hAnsi="Calibri" w:cs="Calibri"/>
          <w:lang w:val="en-GB"/>
        </w:rPr>
        <w:t>-</w:t>
      </w:r>
      <w:r w:rsidR="005D2BF1" w:rsidRPr="00616282">
        <w:rPr>
          <w:rFonts w:ascii="Calibri" w:hAnsi="Calibri" w:cs="Calibri"/>
          <w:lang w:val="en-GB"/>
        </w:rPr>
        <w:t xml:space="preserve"> </w:t>
      </w:r>
      <w:r w:rsidR="009E73D2">
        <w:rPr>
          <w:rFonts w:ascii="Calibri" w:hAnsi="Calibri" w:cs="Calibri"/>
          <w:lang w:val="en-GB"/>
        </w:rPr>
        <w:t>Comparably</w:t>
      </w:r>
      <w:r w:rsidR="0078156F" w:rsidRPr="00616282">
        <w:rPr>
          <w:rFonts w:ascii="Calibri" w:hAnsi="Calibri" w:cs="Calibri"/>
          <w:lang w:val="en-GB"/>
        </w:rPr>
        <w:t>, the EU has already adopted a rather granular Pillar 3 disclosure standard on ESG related risks</w:t>
      </w:r>
      <w:r w:rsidR="005D2BF1" w:rsidRPr="00616282">
        <w:rPr>
          <w:rFonts w:ascii="Calibri" w:hAnsi="Calibri" w:cs="Calibri"/>
          <w:lang w:val="en-GB"/>
        </w:rPr>
        <w:t xml:space="preserve">. </w:t>
      </w:r>
    </w:p>
    <w:p w14:paraId="33EA12AB" w14:textId="73CEDE3F" w:rsidR="0069740B" w:rsidRPr="00616282" w:rsidRDefault="00882EAF" w:rsidP="0061766C">
      <w:pPr>
        <w:pStyle w:val="Heading1"/>
        <w:pBdr>
          <w:bottom w:val="single" w:sz="8" w:space="1" w:color="2E74B5" w:themeColor="accent5" w:themeShade="BF"/>
        </w:pBdr>
        <w:rPr>
          <w:rFonts w:ascii="Calibri" w:hAnsi="Calibri" w:cs="Calibri"/>
        </w:rPr>
      </w:pPr>
      <w:bookmarkStart w:id="12" w:name="_Toc167079285"/>
      <w:bookmarkStart w:id="13" w:name="_Toc167079475"/>
      <w:bookmarkStart w:id="14" w:name="_Toc171908180"/>
      <w:r w:rsidRPr="00616282">
        <w:rPr>
          <w:rFonts w:ascii="Calibri" w:hAnsi="Calibri" w:cs="Calibri"/>
        </w:rPr>
        <w:t xml:space="preserve">Exposure </w:t>
      </w:r>
      <w:r w:rsidR="00E00E70" w:rsidRPr="00616282">
        <w:rPr>
          <w:rFonts w:ascii="Calibri" w:hAnsi="Calibri" w:cs="Calibri"/>
        </w:rPr>
        <w:t xml:space="preserve">to </w:t>
      </w:r>
      <w:r w:rsidR="0008057D">
        <w:rPr>
          <w:rFonts w:ascii="Calibri" w:hAnsi="Calibri" w:cs="Calibri"/>
        </w:rPr>
        <w:t>climate-related</w:t>
      </w:r>
      <w:r w:rsidR="0069740B" w:rsidRPr="00616282">
        <w:rPr>
          <w:rFonts w:ascii="Calibri" w:hAnsi="Calibri" w:cs="Calibri"/>
        </w:rPr>
        <w:t xml:space="preserve"> financial risks</w:t>
      </w:r>
      <w:bookmarkEnd w:id="12"/>
      <w:bookmarkEnd w:id="13"/>
      <w:bookmarkEnd w:id="14"/>
    </w:p>
    <w:p w14:paraId="5AE34F0D" w14:textId="77777777" w:rsidR="008D72A7" w:rsidRPr="00616282" w:rsidRDefault="008D72A7" w:rsidP="001E0563">
      <w:pPr>
        <w:jc w:val="both"/>
        <w:rPr>
          <w:rFonts w:ascii="Calibri" w:hAnsi="Calibri" w:cs="Calibri"/>
          <w:lang w:val="en-GB"/>
        </w:rPr>
      </w:pPr>
    </w:p>
    <w:p w14:paraId="65555FE2" w14:textId="7F4DA58E" w:rsidR="00E00E70" w:rsidRPr="00616282" w:rsidRDefault="00E00E70" w:rsidP="0069740B">
      <w:pPr>
        <w:jc w:val="both"/>
        <w:rPr>
          <w:rFonts w:ascii="Calibri" w:hAnsi="Calibri" w:cs="Calibri"/>
          <w:lang w:val="en-GB"/>
        </w:rPr>
      </w:pPr>
      <w:r w:rsidRPr="00616282">
        <w:rPr>
          <w:rFonts w:ascii="Calibri" w:hAnsi="Calibri" w:cs="Calibri"/>
          <w:lang w:val="en-GB"/>
        </w:rPr>
        <w:t xml:space="preserve">The Framework </w:t>
      </w:r>
      <w:r w:rsidR="004B7407" w:rsidRPr="00616282">
        <w:rPr>
          <w:rFonts w:ascii="Calibri" w:hAnsi="Calibri" w:cs="Calibri"/>
          <w:lang w:val="en-GB"/>
        </w:rPr>
        <w:t xml:space="preserve">seeks to illuminate the exposures of </w:t>
      </w:r>
      <w:r w:rsidR="009148C8">
        <w:rPr>
          <w:rFonts w:ascii="Calibri" w:hAnsi="Calibri" w:cs="Calibri"/>
          <w:lang w:val="en-GB"/>
        </w:rPr>
        <w:t xml:space="preserve">the </w:t>
      </w:r>
      <w:r w:rsidR="004B7407" w:rsidRPr="00616282">
        <w:rPr>
          <w:rFonts w:ascii="Calibri" w:hAnsi="Calibri" w:cs="Calibri"/>
          <w:lang w:val="en-GB"/>
        </w:rPr>
        <w:t>banking sector</w:t>
      </w:r>
      <w:r w:rsidR="009148C8">
        <w:rPr>
          <w:rFonts w:ascii="Calibri" w:hAnsi="Calibri" w:cs="Calibri"/>
          <w:lang w:val="en-GB"/>
        </w:rPr>
        <w:t>’s</w:t>
      </w:r>
      <w:r w:rsidR="004B7407" w:rsidRPr="00616282">
        <w:rPr>
          <w:rFonts w:ascii="Calibri" w:hAnsi="Calibri" w:cs="Calibri"/>
          <w:lang w:val="en-GB"/>
        </w:rPr>
        <w:t xml:space="preserve"> credit portfolios to “inherent” climate</w:t>
      </w:r>
      <w:r w:rsidR="00151FD7" w:rsidRPr="00616282">
        <w:rPr>
          <w:rFonts w:ascii="Calibri" w:hAnsi="Calibri" w:cs="Calibri"/>
          <w:lang w:val="en-GB"/>
        </w:rPr>
        <w:t>-related</w:t>
      </w:r>
      <w:r w:rsidR="004B7407" w:rsidRPr="00616282">
        <w:rPr>
          <w:rFonts w:ascii="Calibri" w:hAnsi="Calibri" w:cs="Calibri"/>
          <w:lang w:val="en-GB"/>
        </w:rPr>
        <w:t xml:space="preserve"> risks. </w:t>
      </w:r>
      <w:r w:rsidR="009148C8">
        <w:rPr>
          <w:rFonts w:ascii="Calibri" w:hAnsi="Calibri" w:cs="Calibri"/>
          <w:lang w:val="en-GB"/>
        </w:rPr>
        <w:t>These</w:t>
      </w:r>
      <w:r w:rsidR="00151FD7" w:rsidRPr="00616282">
        <w:rPr>
          <w:rFonts w:ascii="Calibri" w:hAnsi="Calibri" w:cs="Calibri"/>
          <w:lang w:val="en-GB"/>
        </w:rPr>
        <w:t xml:space="preserve"> risks can be divided into two broad categories:</w:t>
      </w:r>
    </w:p>
    <w:p w14:paraId="326CBEFC" w14:textId="77777777" w:rsidR="008D72A7" w:rsidRPr="00616282" w:rsidRDefault="008D72A7" w:rsidP="00CF7814">
      <w:pPr>
        <w:pStyle w:val="ListParagraph"/>
        <w:jc w:val="both"/>
        <w:rPr>
          <w:rFonts w:ascii="Calibri" w:hAnsi="Calibri" w:cs="Calibri"/>
          <w:lang w:val="en-GB"/>
        </w:rPr>
      </w:pPr>
    </w:p>
    <w:p w14:paraId="3EF311E8" w14:textId="1CB1ED7A" w:rsidR="008D72A7" w:rsidRPr="00616282" w:rsidRDefault="008D72A7" w:rsidP="0090701E">
      <w:pPr>
        <w:pStyle w:val="ListParagraph"/>
        <w:numPr>
          <w:ilvl w:val="0"/>
          <w:numId w:val="1"/>
        </w:numPr>
        <w:ind w:left="360"/>
        <w:jc w:val="both"/>
        <w:rPr>
          <w:rFonts w:ascii="Calibri" w:hAnsi="Calibri" w:cs="Calibri"/>
          <w:lang w:val="en-GB"/>
        </w:rPr>
      </w:pPr>
      <w:r w:rsidRPr="00616282">
        <w:rPr>
          <w:rFonts w:ascii="Calibri" w:hAnsi="Calibri" w:cs="Calibri"/>
          <w:b/>
          <w:bCs/>
          <w:lang w:val="en-GB"/>
        </w:rPr>
        <w:t>Transition risks</w:t>
      </w:r>
      <w:r w:rsidR="00DE2181">
        <w:rPr>
          <w:rFonts w:ascii="Calibri" w:hAnsi="Calibri" w:cs="Calibri"/>
          <w:lang w:val="en-GB"/>
        </w:rPr>
        <w:t xml:space="preserve">: These are </w:t>
      </w:r>
      <w:r w:rsidRPr="00616282">
        <w:rPr>
          <w:rFonts w:ascii="Calibri" w:hAnsi="Calibri" w:cs="Calibri"/>
          <w:lang w:val="en-GB"/>
        </w:rPr>
        <w:t xml:space="preserve">hazards associated with the shift toward a low-carbon economy </w:t>
      </w:r>
      <w:r w:rsidR="00282958" w:rsidRPr="00616282">
        <w:rPr>
          <w:rFonts w:ascii="Calibri" w:hAnsi="Calibri" w:cs="Calibri"/>
          <w:lang w:val="en-GB"/>
        </w:rPr>
        <w:t xml:space="preserve">that </w:t>
      </w:r>
      <w:r w:rsidRPr="00616282">
        <w:rPr>
          <w:rFonts w:ascii="Calibri" w:hAnsi="Calibri" w:cs="Calibri"/>
          <w:lang w:val="en-GB"/>
        </w:rPr>
        <w:t>can significantly impact the credit, market, operational, and liquidity risk</w:t>
      </w:r>
      <w:r w:rsidR="00B85E04" w:rsidRPr="00616282">
        <w:rPr>
          <w:rFonts w:ascii="Calibri" w:hAnsi="Calibri" w:cs="Calibri"/>
          <w:lang w:val="en-GB"/>
        </w:rPr>
        <w:t xml:space="preserve"> profiles of financial institutions</w:t>
      </w:r>
      <w:r w:rsidRPr="00616282">
        <w:rPr>
          <w:rFonts w:ascii="Calibri" w:hAnsi="Calibri" w:cs="Calibri"/>
          <w:lang w:val="en-GB"/>
        </w:rPr>
        <w:t xml:space="preserve">. </w:t>
      </w:r>
      <w:r w:rsidR="00CB1F49" w:rsidRPr="00616282">
        <w:rPr>
          <w:rFonts w:ascii="Calibri" w:hAnsi="Calibri" w:cs="Calibri"/>
          <w:lang w:val="en-GB"/>
        </w:rPr>
        <w:t>For example, some c</w:t>
      </w:r>
      <w:r w:rsidR="00B85E04" w:rsidRPr="00616282">
        <w:rPr>
          <w:rFonts w:ascii="Calibri" w:hAnsi="Calibri" w:cs="Calibri"/>
          <w:lang w:val="en-GB"/>
        </w:rPr>
        <w:t xml:space="preserve">ounterparties financed by banks </w:t>
      </w:r>
      <w:r w:rsidRPr="00616282">
        <w:rPr>
          <w:rFonts w:ascii="Calibri" w:hAnsi="Calibri" w:cs="Calibri"/>
          <w:lang w:val="en-GB"/>
        </w:rPr>
        <w:t>operating in energy-intensive or high-carbon sectors</w:t>
      </w:r>
      <w:r w:rsidR="00CB1F49" w:rsidRPr="00616282">
        <w:rPr>
          <w:rFonts w:ascii="Calibri" w:hAnsi="Calibri" w:cs="Calibri"/>
          <w:lang w:val="en-GB"/>
        </w:rPr>
        <w:t xml:space="preserve"> </w:t>
      </w:r>
      <w:r w:rsidRPr="00616282">
        <w:rPr>
          <w:rFonts w:ascii="Calibri" w:hAnsi="Calibri" w:cs="Calibri"/>
          <w:lang w:val="en-GB"/>
        </w:rPr>
        <w:t xml:space="preserve">may face </w:t>
      </w:r>
      <w:r w:rsidR="00DE2181">
        <w:rPr>
          <w:rFonts w:ascii="Calibri" w:hAnsi="Calibri" w:cs="Calibri"/>
          <w:lang w:val="en-GB"/>
        </w:rPr>
        <w:t>reduced</w:t>
      </w:r>
      <w:r w:rsidR="00DE2181" w:rsidRPr="00616282">
        <w:rPr>
          <w:rFonts w:ascii="Calibri" w:hAnsi="Calibri" w:cs="Calibri"/>
          <w:lang w:val="en-GB"/>
        </w:rPr>
        <w:t xml:space="preserve"> </w:t>
      </w:r>
      <w:r w:rsidRPr="00616282">
        <w:rPr>
          <w:rFonts w:ascii="Calibri" w:hAnsi="Calibri" w:cs="Calibri"/>
          <w:lang w:val="en-GB"/>
        </w:rPr>
        <w:t>competitiveness during the transition to a low-carbon economy, particularly if they have not taken steps to adapt. This decline in market competitiveness can arise from factors such as increased carbon pricing, heightened vulnerability to energy price fluctuations, asset devaluation, more stringent environmental regulations, and evolving consumer preferences</w:t>
      </w:r>
      <w:r w:rsidR="00DE2181">
        <w:rPr>
          <w:rFonts w:ascii="Calibri" w:hAnsi="Calibri" w:cs="Calibri"/>
          <w:lang w:val="en-GB"/>
        </w:rPr>
        <w:t xml:space="preserve">, </w:t>
      </w:r>
      <w:r w:rsidRPr="00616282">
        <w:rPr>
          <w:rFonts w:ascii="Calibri" w:hAnsi="Calibri" w:cs="Calibri"/>
          <w:lang w:val="en-GB"/>
        </w:rPr>
        <w:t>ultimately elevat</w:t>
      </w:r>
      <w:r w:rsidR="00DE2181">
        <w:rPr>
          <w:rFonts w:ascii="Calibri" w:hAnsi="Calibri" w:cs="Calibri"/>
          <w:lang w:val="en-GB"/>
        </w:rPr>
        <w:t>ing</w:t>
      </w:r>
      <w:r w:rsidRPr="00616282">
        <w:rPr>
          <w:rFonts w:ascii="Calibri" w:hAnsi="Calibri" w:cs="Calibri"/>
          <w:lang w:val="en-GB"/>
        </w:rPr>
        <w:t xml:space="preserve"> the risk of default for these c</w:t>
      </w:r>
      <w:r w:rsidR="00922070" w:rsidRPr="00616282">
        <w:rPr>
          <w:rFonts w:ascii="Calibri" w:hAnsi="Calibri" w:cs="Calibri"/>
          <w:lang w:val="en-GB"/>
        </w:rPr>
        <w:t>ounterparties</w:t>
      </w:r>
      <w:r w:rsidRPr="00616282">
        <w:rPr>
          <w:rFonts w:ascii="Calibri" w:hAnsi="Calibri" w:cs="Calibri"/>
          <w:lang w:val="en-GB"/>
        </w:rPr>
        <w:t>.</w:t>
      </w:r>
      <w:r w:rsidR="005806C7" w:rsidRPr="00616282">
        <w:rPr>
          <w:rFonts w:ascii="Calibri" w:hAnsi="Calibri" w:cs="Calibri"/>
          <w:lang w:val="en-GB"/>
        </w:rPr>
        <w:t xml:space="preserve"> Transition risk breaks down into the question of how fast and vehement the transformation is happening for a given sector – and, </w:t>
      </w:r>
      <w:r w:rsidR="00B720D9" w:rsidRPr="00616282">
        <w:rPr>
          <w:rFonts w:ascii="Calibri" w:hAnsi="Calibri" w:cs="Calibri"/>
          <w:lang w:val="en-GB"/>
        </w:rPr>
        <w:t>therefore</w:t>
      </w:r>
      <w:r w:rsidR="005806C7" w:rsidRPr="00616282">
        <w:rPr>
          <w:rFonts w:ascii="Calibri" w:hAnsi="Calibri" w:cs="Calibri"/>
          <w:lang w:val="en-GB"/>
        </w:rPr>
        <w:t>, how likely it is for a given company to not be able to keep up with it and suffer economic damage accordingly</w:t>
      </w:r>
      <w:r w:rsidR="0039559C" w:rsidRPr="00616282">
        <w:rPr>
          <w:rFonts w:ascii="Calibri" w:hAnsi="Calibri" w:cs="Calibri"/>
          <w:lang w:val="en-GB"/>
        </w:rPr>
        <w:t>.</w:t>
      </w:r>
    </w:p>
    <w:p w14:paraId="1B935D4F" w14:textId="77777777" w:rsidR="008D72A7" w:rsidRPr="00616282" w:rsidRDefault="008D72A7" w:rsidP="0090701E">
      <w:pPr>
        <w:pStyle w:val="ListParagraph"/>
        <w:ind w:left="360"/>
        <w:jc w:val="both"/>
        <w:rPr>
          <w:rFonts w:ascii="Calibri" w:hAnsi="Calibri" w:cs="Calibri"/>
          <w:lang w:val="en-GB"/>
        </w:rPr>
      </w:pPr>
    </w:p>
    <w:p w14:paraId="3192BFC4" w14:textId="35B814B2" w:rsidR="00CF7814" w:rsidRPr="00616282" w:rsidRDefault="008D72A7" w:rsidP="0090701E">
      <w:pPr>
        <w:pStyle w:val="ListParagraph"/>
        <w:numPr>
          <w:ilvl w:val="0"/>
          <w:numId w:val="1"/>
        </w:numPr>
        <w:ind w:left="360"/>
        <w:jc w:val="both"/>
        <w:rPr>
          <w:rFonts w:ascii="Calibri" w:hAnsi="Calibri" w:cs="Calibri"/>
          <w:lang w:val="en-GB"/>
        </w:rPr>
      </w:pPr>
      <w:r w:rsidRPr="00616282">
        <w:rPr>
          <w:rFonts w:ascii="Calibri" w:hAnsi="Calibri" w:cs="Calibri"/>
          <w:b/>
          <w:bCs/>
          <w:lang w:val="en-GB"/>
        </w:rPr>
        <w:t>Physical risks</w:t>
      </w:r>
      <w:r w:rsidR="00DE2181">
        <w:rPr>
          <w:rFonts w:ascii="Calibri" w:hAnsi="Calibri" w:cs="Calibri"/>
          <w:lang w:val="en-GB"/>
        </w:rPr>
        <w:t xml:space="preserve">: These </w:t>
      </w:r>
      <w:r w:rsidRPr="00CB4FD6">
        <w:rPr>
          <w:rFonts w:ascii="Calibri" w:hAnsi="Calibri" w:cs="Calibri"/>
          <w:lang w:val="en-GB"/>
        </w:rPr>
        <w:t>pertain</w:t>
      </w:r>
      <w:r w:rsidRPr="00616282">
        <w:rPr>
          <w:rFonts w:ascii="Calibri" w:hAnsi="Calibri" w:cs="Calibri"/>
          <w:lang w:val="en-GB"/>
        </w:rPr>
        <w:t xml:space="preserve"> to the </w:t>
      </w:r>
      <w:r w:rsidR="00E16D05" w:rsidRPr="00616282">
        <w:rPr>
          <w:rFonts w:ascii="Calibri" w:hAnsi="Calibri" w:cs="Calibri"/>
          <w:lang w:val="en-GB"/>
        </w:rPr>
        <w:t xml:space="preserve">physical impacts </w:t>
      </w:r>
      <w:r w:rsidRPr="00616282">
        <w:rPr>
          <w:rFonts w:ascii="Calibri" w:hAnsi="Calibri" w:cs="Calibri"/>
          <w:lang w:val="en-GB"/>
        </w:rPr>
        <w:t xml:space="preserve">associated with climate change, encompassing both more frequent </w:t>
      </w:r>
      <w:r w:rsidR="00BC7ED4">
        <w:rPr>
          <w:rFonts w:ascii="Calibri" w:hAnsi="Calibri" w:cs="Calibri"/>
          <w:lang w:val="en-GB"/>
        </w:rPr>
        <w:t xml:space="preserve">and </w:t>
      </w:r>
      <w:r w:rsidRPr="00616282">
        <w:rPr>
          <w:rFonts w:ascii="Calibri" w:hAnsi="Calibri" w:cs="Calibri"/>
          <w:lang w:val="en-GB"/>
        </w:rPr>
        <w:t>severe weather occurrences and gradual shifts in environmental conditions. This includes factors such as air, water, and land pollution, water scarcity, loss of biodiversity, and deforestation. Physical risk is classified as "acute" when triggered by sudden extreme events like droughts, floods, and storms, and "chronic" when stemming from ongoing changes such as rising temperatures, sea levels, water scarcity, biodiversity loss, alterations in land use, habitat destruction, and resource depletion. These risks can lead directly to outcomes like property damage or decreased productivity, and indirectly result in subsequent disruptions such as supply chain disturbances.</w:t>
      </w:r>
    </w:p>
    <w:p w14:paraId="30C0470F" w14:textId="77777777" w:rsidR="004725EE" w:rsidRDefault="004725EE" w:rsidP="004725EE">
      <w:pPr>
        <w:rPr>
          <w:lang w:val="en-GB"/>
        </w:rPr>
      </w:pPr>
    </w:p>
    <w:p w14:paraId="0F87709E" w14:textId="77777777" w:rsidR="00157082" w:rsidRDefault="00157082">
      <w:pPr>
        <w:rPr>
          <w:rFonts w:ascii="Calibri" w:hAnsi="Calibri" w:cs="Calibri"/>
          <w:b/>
          <w:bCs/>
          <w:color w:val="ED7D31" w:themeColor="accent2"/>
          <w:lang w:val="en-GB"/>
        </w:rPr>
      </w:pPr>
      <w:r>
        <w:rPr>
          <w:rFonts w:ascii="Calibri" w:hAnsi="Calibri" w:cs="Calibri"/>
          <w:b/>
          <w:bCs/>
          <w:i/>
          <w:iCs/>
          <w:color w:val="ED7D31" w:themeColor="accent2"/>
          <w:lang w:val="en-GB"/>
        </w:rPr>
        <w:br w:type="page"/>
      </w:r>
    </w:p>
    <w:p w14:paraId="16A7FE9F" w14:textId="215BC371" w:rsidR="008D72A7" w:rsidRPr="00616282" w:rsidRDefault="00673341" w:rsidP="007E6EB1">
      <w:pPr>
        <w:pStyle w:val="Caption"/>
        <w:rPr>
          <w:rFonts w:ascii="Calibri" w:hAnsi="Calibri" w:cs="Calibri"/>
          <w:b/>
          <w:bCs/>
          <w:i w:val="0"/>
          <w:iCs w:val="0"/>
          <w:color w:val="ED7D31" w:themeColor="accent2"/>
          <w:sz w:val="24"/>
          <w:szCs w:val="24"/>
          <w:lang w:val="en-GB"/>
        </w:rPr>
      </w:pPr>
      <w:bookmarkStart w:id="15" w:name="_Toc175223817"/>
      <w:r w:rsidRPr="00616282">
        <w:rPr>
          <w:rFonts w:ascii="Calibri" w:hAnsi="Calibri" w:cs="Calibri"/>
          <w:b/>
          <w:bCs/>
          <w:i w:val="0"/>
          <w:iCs w:val="0"/>
          <w:color w:val="ED7D31" w:themeColor="accent2"/>
          <w:sz w:val="24"/>
          <w:szCs w:val="24"/>
          <w:lang w:val="en-GB"/>
        </w:rPr>
        <w:lastRenderedPageBreak/>
        <w:t xml:space="preserve">Figure </w:t>
      </w:r>
      <w:r w:rsidR="00446278" w:rsidRPr="00616282">
        <w:rPr>
          <w:rFonts w:ascii="Calibri" w:hAnsi="Calibri" w:cs="Calibri"/>
          <w:b/>
          <w:bCs/>
          <w:i w:val="0"/>
          <w:iCs w:val="0"/>
          <w:color w:val="ED7D31" w:themeColor="accent2"/>
          <w:sz w:val="24"/>
          <w:szCs w:val="24"/>
          <w:lang w:val="en-GB"/>
        </w:rPr>
        <w:fldChar w:fldCharType="begin"/>
      </w:r>
      <w:r w:rsidR="00446278" w:rsidRPr="00616282">
        <w:rPr>
          <w:rFonts w:ascii="Calibri" w:hAnsi="Calibri" w:cs="Calibri"/>
          <w:b/>
          <w:bCs/>
          <w:i w:val="0"/>
          <w:iCs w:val="0"/>
          <w:color w:val="ED7D31" w:themeColor="accent2"/>
          <w:sz w:val="24"/>
          <w:szCs w:val="24"/>
          <w:lang w:val="en-GB"/>
        </w:rPr>
        <w:instrText xml:space="preserve"> SEQ Figure \* ARABIC </w:instrText>
      </w:r>
      <w:r w:rsidR="00446278" w:rsidRPr="00616282">
        <w:rPr>
          <w:rFonts w:ascii="Calibri" w:hAnsi="Calibri" w:cs="Calibri"/>
          <w:b/>
          <w:bCs/>
          <w:i w:val="0"/>
          <w:iCs w:val="0"/>
          <w:color w:val="ED7D31" w:themeColor="accent2"/>
          <w:sz w:val="24"/>
          <w:szCs w:val="24"/>
          <w:lang w:val="en-GB"/>
        </w:rPr>
        <w:fldChar w:fldCharType="separate"/>
      </w:r>
      <w:r w:rsidR="0096670A">
        <w:rPr>
          <w:rFonts w:ascii="Calibri" w:hAnsi="Calibri" w:cs="Calibri"/>
          <w:b/>
          <w:bCs/>
          <w:i w:val="0"/>
          <w:iCs w:val="0"/>
          <w:noProof/>
          <w:color w:val="ED7D31" w:themeColor="accent2"/>
          <w:sz w:val="24"/>
          <w:szCs w:val="24"/>
          <w:lang w:val="en-GB"/>
        </w:rPr>
        <w:t>2</w:t>
      </w:r>
      <w:r w:rsidR="00446278" w:rsidRPr="00616282">
        <w:rPr>
          <w:rFonts w:ascii="Calibri" w:hAnsi="Calibri" w:cs="Calibri"/>
          <w:b/>
          <w:bCs/>
          <w:i w:val="0"/>
          <w:iCs w:val="0"/>
          <w:color w:val="ED7D31" w:themeColor="accent2"/>
          <w:sz w:val="24"/>
          <w:szCs w:val="24"/>
          <w:lang w:val="en-GB"/>
        </w:rPr>
        <w:fldChar w:fldCharType="end"/>
      </w:r>
      <w:r w:rsidRPr="00616282">
        <w:rPr>
          <w:rFonts w:ascii="Calibri" w:hAnsi="Calibri" w:cs="Calibri"/>
          <w:b/>
          <w:bCs/>
          <w:i w:val="0"/>
          <w:iCs w:val="0"/>
          <w:color w:val="ED7D31" w:themeColor="accent2"/>
          <w:sz w:val="24"/>
          <w:szCs w:val="24"/>
          <w:lang w:val="en-GB"/>
        </w:rPr>
        <w:t xml:space="preserve">. </w:t>
      </w:r>
      <w:r w:rsidR="00BA721C" w:rsidRPr="00616282">
        <w:rPr>
          <w:rFonts w:ascii="Calibri" w:hAnsi="Calibri" w:cs="Calibri"/>
          <w:b/>
          <w:bCs/>
          <w:i w:val="0"/>
          <w:iCs w:val="0"/>
          <w:color w:val="ED7D31" w:themeColor="accent2"/>
          <w:sz w:val="24"/>
          <w:szCs w:val="24"/>
          <w:lang w:val="en-GB"/>
        </w:rPr>
        <w:t>Classifying climate risks and opportunities</w:t>
      </w:r>
      <w:bookmarkEnd w:id="15"/>
    </w:p>
    <w:p w14:paraId="45DFD135" w14:textId="130B4C4C" w:rsidR="008D72A7" w:rsidRPr="00616282" w:rsidRDefault="00570039" w:rsidP="00616282">
      <w:pPr>
        <w:jc w:val="center"/>
        <w:rPr>
          <w:rFonts w:ascii="Calibri" w:hAnsi="Calibri" w:cs="Calibri"/>
          <w:lang w:val="en-GB"/>
        </w:rPr>
      </w:pPr>
      <w:r w:rsidRPr="00616282">
        <w:rPr>
          <w:rFonts w:ascii="Calibri" w:hAnsi="Calibri" w:cs="Calibri"/>
          <w:noProof/>
        </w:rPr>
        <w:drawing>
          <wp:inline distT="0" distB="0" distL="0" distR="0" wp14:anchorId="337AC1EC" wp14:editId="44160CD2">
            <wp:extent cx="5130800" cy="2440343"/>
            <wp:effectExtent l="0" t="0" r="0" b="0"/>
            <wp:docPr id="794959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959386" name=""/>
                    <pic:cNvPicPr/>
                  </pic:nvPicPr>
                  <pic:blipFill>
                    <a:blip r:embed="rId13"/>
                    <a:stretch>
                      <a:fillRect/>
                    </a:stretch>
                  </pic:blipFill>
                  <pic:spPr>
                    <a:xfrm>
                      <a:off x="0" y="0"/>
                      <a:ext cx="5140991" cy="2445190"/>
                    </a:xfrm>
                    <a:prstGeom prst="rect">
                      <a:avLst/>
                    </a:prstGeom>
                  </pic:spPr>
                </pic:pic>
              </a:graphicData>
            </a:graphic>
          </wp:inline>
        </w:drawing>
      </w:r>
    </w:p>
    <w:p w14:paraId="542D7A28" w14:textId="77777777" w:rsidR="00BC7ED4" w:rsidRDefault="00BC7ED4" w:rsidP="00616282">
      <w:pPr>
        <w:jc w:val="both"/>
        <w:rPr>
          <w:rFonts w:ascii="Calibri" w:hAnsi="Calibri" w:cs="Calibri"/>
          <w:lang w:val="en-GB"/>
        </w:rPr>
      </w:pPr>
    </w:p>
    <w:p w14:paraId="5673BF82" w14:textId="1312D2CB" w:rsidR="00C84397" w:rsidRPr="00616282" w:rsidRDefault="003A69B0" w:rsidP="00616282">
      <w:pPr>
        <w:jc w:val="both"/>
        <w:rPr>
          <w:rFonts w:ascii="Calibri" w:hAnsi="Calibri" w:cs="Calibri"/>
          <w:lang w:val="en-GB"/>
        </w:rPr>
      </w:pPr>
      <w:r w:rsidRPr="00616282">
        <w:rPr>
          <w:rFonts w:ascii="Calibri" w:hAnsi="Calibri" w:cs="Calibri"/>
          <w:lang w:val="en-GB"/>
        </w:rPr>
        <w:t xml:space="preserve">The Framework Reporting Templates (the “Templates”) include tables for the reporting of exposures to both transition and physical climate-related risk exposures. </w:t>
      </w:r>
    </w:p>
    <w:p w14:paraId="085CDC49" w14:textId="36BD8D6A" w:rsidR="008D3A07" w:rsidRPr="00616282" w:rsidRDefault="008D3A07" w:rsidP="00570039">
      <w:pPr>
        <w:rPr>
          <w:rFonts w:ascii="Calibri" w:hAnsi="Calibri" w:cs="Calibri"/>
          <w:lang w:val="en-GB"/>
        </w:rPr>
      </w:pPr>
    </w:p>
    <w:p w14:paraId="6D2B2ED1" w14:textId="1DC88B0D" w:rsidR="009705D2" w:rsidRPr="00616282" w:rsidRDefault="009705D2" w:rsidP="00B720D9">
      <w:pPr>
        <w:pStyle w:val="Heading2"/>
        <w:rPr>
          <w:rFonts w:ascii="Calibri" w:hAnsi="Calibri" w:cs="Calibri"/>
          <w:lang w:val="en-GB"/>
        </w:rPr>
      </w:pPr>
      <w:bookmarkStart w:id="16" w:name="_Toc171908181"/>
      <w:r w:rsidRPr="00616282">
        <w:rPr>
          <w:rFonts w:ascii="Calibri" w:hAnsi="Calibri" w:cs="Calibri"/>
          <w:lang w:val="en-GB"/>
        </w:rPr>
        <w:t>Physical Risk Exposures</w:t>
      </w:r>
      <w:bookmarkEnd w:id="16"/>
    </w:p>
    <w:p w14:paraId="5A72C4F4" w14:textId="77777777" w:rsidR="003A69B0" w:rsidRPr="00616282" w:rsidRDefault="003A69B0" w:rsidP="00570039">
      <w:pPr>
        <w:rPr>
          <w:rFonts w:ascii="Calibri" w:hAnsi="Calibri" w:cs="Calibri"/>
          <w:lang w:val="en-GB"/>
        </w:rPr>
      </w:pPr>
    </w:p>
    <w:p w14:paraId="7361E1B3" w14:textId="5F2588A5" w:rsidR="003A69B0" w:rsidRPr="00616282" w:rsidRDefault="00BC7ED4" w:rsidP="003A69B0">
      <w:pPr>
        <w:jc w:val="both"/>
        <w:rPr>
          <w:rFonts w:ascii="Calibri" w:hAnsi="Calibri" w:cs="Calibri"/>
          <w:lang w:val="en-GB"/>
        </w:rPr>
      </w:pPr>
      <w:r>
        <w:rPr>
          <w:rFonts w:ascii="Calibri" w:hAnsi="Calibri" w:cs="Calibri"/>
          <w:lang w:val="en-GB"/>
        </w:rPr>
        <w:t xml:space="preserve">The </w:t>
      </w:r>
      <w:r w:rsidR="003A69B0" w:rsidRPr="00616282">
        <w:rPr>
          <w:rFonts w:ascii="Calibri" w:hAnsi="Calibri" w:cs="Calibri"/>
          <w:lang w:val="en-GB"/>
        </w:rPr>
        <w:t xml:space="preserve">CBK has </w:t>
      </w:r>
      <w:r w:rsidR="003A69B0" w:rsidRPr="009476F4">
        <w:rPr>
          <w:rFonts w:ascii="Calibri" w:hAnsi="Calibri" w:cs="Calibri"/>
          <w:lang w:val="en-GB"/>
        </w:rPr>
        <w:t>mapped the prominent hazards across Kenya by frequency and intensity at a very granular level. The modelled data can be found on the CBK website. For</w:t>
      </w:r>
      <w:r w:rsidR="003A69B0" w:rsidRPr="00616282">
        <w:rPr>
          <w:rFonts w:ascii="Calibri" w:hAnsi="Calibri" w:cs="Calibri"/>
          <w:lang w:val="en-GB"/>
        </w:rPr>
        <w:t xml:space="preserve"> purposes of reporting and aiding the financial sector </w:t>
      </w:r>
      <w:r>
        <w:rPr>
          <w:rFonts w:ascii="Calibri" w:hAnsi="Calibri" w:cs="Calibri"/>
          <w:lang w:val="en-GB"/>
        </w:rPr>
        <w:t>in</w:t>
      </w:r>
      <w:r w:rsidR="003A69B0" w:rsidRPr="00616282">
        <w:rPr>
          <w:rFonts w:ascii="Calibri" w:hAnsi="Calibri" w:cs="Calibri"/>
          <w:lang w:val="en-GB"/>
        </w:rPr>
        <w:t xml:space="preserve"> assess</w:t>
      </w:r>
      <w:r>
        <w:rPr>
          <w:rFonts w:ascii="Calibri" w:hAnsi="Calibri" w:cs="Calibri"/>
          <w:lang w:val="en-GB"/>
        </w:rPr>
        <w:t>ing</w:t>
      </w:r>
      <w:r w:rsidR="003A69B0" w:rsidRPr="00616282">
        <w:rPr>
          <w:rFonts w:ascii="Calibri" w:hAnsi="Calibri" w:cs="Calibri"/>
          <w:lang w:val="en-GB"/>
        </w:rPr>
        <w:t xml:space="preserve"> exposure to physical climate-related risks the CBK has provided indicative risk scoring by hazard and by county in the Framework Templates. These should be viewed as starting points for the banking sector’s analysis of counterparty exposure and vulnerability to a given hazard </w:t>
      </w:r>
      <w:r w:rsidR="002666C8" w:rsidRPr="00616282">
        <w:rPr>
          <w:rFonts w:ascii="Calibri" w:hAnsi="Calibri" w:cs="Calibri"/>
          <w:lang w:val="en-GB"/>
        </w:rPr>
        <w:t>in each</w:t>
      </w:r>
      <w:r w:rsidR="003A69B0" w:rsidRPr="00616282">
        <w:rPr>
          <w:rFonts w:ascii="Calibri" w:hAnsi="Calibri" w:cs="Calibri"/>
          <w:lang w:val="en-GB"/>
        </w:rPr>
        <w:t xml:space="preserve"> area</w:t>
      </w:r>
      <w:r w:rsidR="00E94080" w:rsidRPr="00616282">
        <w:rPr>
          <w:rFonts w:ascii="Calibri" w:hAnsi="Calibri" w:cs="Calibri"/>
          <w:lang w:val="en-GB"/>
        </w:rPr>
        <w:t xml:space="preserve"> (to inform inputs on Physical Risk Exposures Part B)</w:t>
      </w:r>
      <w:r w:rsidR="003A69B0" w:rsidRPr="00616282">
        <w:rPr>
          <w:rFonts w:ascii="Calibri" w:hAnsi="Calibri" w:cs="Calibri"/>
          <w:lang w:val="en-GB"/>
        </w:rPr>
        <w:t xml:space="preserve">. </w:t>
      </w:r>
    </w:p>
    <w:p w14:paraId="4D849C02" w14:textId="77777777" w:rsidR="003A69B0" w:rsidRPr="00616282" w:rsidRDefault="003A69B0" w:rsidP="00570039">
      <w:pPr>
        <w:rPr>
          <w:rFonts w:ascii="Calibri" w:hAnsi="Calibri" w:cs="Calibri"/>
          <w:lang w:val="en-GB"/>
        </w:rPr>
      </w:pPr>
    </w:p>
    <w:p w14:paraId="63B5F73F" w14:textId="4EF52AB1" w:rsidR="00922D8A" w:rsidRPr="00616282" w:rsidRDefault="00B57CA1" w:rsidP="00616282">
      <w:pPr>
        <w:jc w:val="both"/>
        <w:rPr>
          <w:rFonts w:ascii="Calibri" w:hAnsi="Calibri" w:cs="Calibri"/>
          <w:lang w:val="en-GB"/>
        </w:rPr>
      </w:pPr>
      <w:r w:rsidRPr="00616282">
        <w:rPr>
          <w:rFonts w:ascii="Calibri" w:hAnsi="Calibri" w:cs="Calibri"/>
          <w:lang w:val="en-GB"/>
        </w:rPr>
        <w:t>For physical risks, the Templates</w:t>
      </w:r>
      <w:r w:rsidR="00E94080" w:rsidRPr="00616282">
        <w:rPr>
          <w:rFonts w:ascii="Calibri" w:hAnsi="Calibri" w:cs="Calibri"/>
          <w:lang w:val="en-GB"/>
        </w:rPr>
        <w:t xml:space="preserve"> Part A</w:t>
      </w:r>
      <w:r w:rsidRPr="00616282">
        <w:rPr>
          <w:rFonts w:ascii="Calibri" w:hAnsi="Calibri" w:cs="Calibri"/>
          <w:lang w:val="en-GB"/>
        </w:rPr>
        <w:t xml:space="preserve"> </w:t>
      </w:r>
      <w:r w:rsidR="00BC32C9" w:rsidRPr="00616282">
        <w:rPr>
          <w:rFonts w:ascii="Calibri" w:hAnsi="Calibri" w:cs="Calibri"/>
          <w:lang w:val="en-GB"/>
        </w:rPr>
        <w:t>request</w:t>
      </w:r>
      <w:r w:rsidR="00BC7ED4">
        <w:rPr>
          <w:rFonts w:ascii="Calibri" w:hAnsi="Calibri" w:cs="Calibri"/>
          <w:lang w:val="en-GB"/>
        </w:rPr>
        <w:t>s</w:t>
      </w:r>
      <w:r w:rsidR="00BC32C9" w:rsidRPr="00616282">
        <w:rPr>
          <w:rFonts w:ascii="Calibri" w:hAnsi="Calibri" w:cs="Calibri"/>
          <w:lang w:val="en-GB"/>
        </w:rPr>
        <w:t xml:space="preserve"> </w:t>
      </w:r>
      <w:r w:rsidR="000C4B54" w:rsidRPr="00616282">
        <w:rPr>
          <w:rFonts w:ascii="Calibri" w:hAnsi="Calibri" w:cs="Calibri"/>
          <w:lang w:val="en-GB"/>
        </w:rPr>
        <w:t>immovable collaterals by county and for</w:t>
      </w:r>
      <w:r w:rsidR="00E94080" w:rsidRPr="00616282">
        <w:rPr>
          <w:rFonts w:ascii="Calibri" w:hAnsi="Calibri" w:cs="Calibri"/>
          <w:lang w:val="en-GB"/>
        </w:rPr>
        <w:t xml:space="preserve"> Part B</w:t>
      </w:r>
      <w:r w:rsidR="00BC7ED4">
        <w:rPr>
          <w:rFonts w:ascii="Calibri" w:hAnsi="Calibri" w:cs="Calibri"/>
          <w:lang w:val="en-GB"/>
        </w:rPr>
        <w:t>,</w:t>
      </w:r>
      <w:r w:rsidR="000C4B54" w:rsidRPr="00616282">
        <w:rPr>
          <w:rFonts w:ascii="Calibri" w:hAnsi="Calibri" w:cs="Calibri"/>
          <w:lang w:val="en-GB"/>
        </w:rPr>
        <w:t xml:space="preserve"> the self-assessed exposures </w:t>
      </w:r>
      <w:r w:rsidR="00DD22D1" w:rsidRPr="00616282">
        <w:rPr>
          <w:rFonts w:ascii="Calibri" w:hAnsi="Calibri" w:cs="Calibri"/>
          <w:lang w:val="en-GB"/>
        </w:rPr>
        <w:t xml:space="preserve">to various types of physical risks. </w:t>
      </w:r>
    </w:p>
    <w:p w14:paraId="47457AC2" w14:textId="77777777" w:rsidR="00E21BE7" w:rsidRPr="00616282" w:rsidRDefault="00E21BE7" w:rsidP="00570039">
      <w:pPr>
        <w:rPr>
          <w:rFonts w:ascii="Calibri" w:hAnsi="Calibri" w:cs="Calibri"/>
          <w:lang w:val="en-GB"/>
        </w:rPr>
      </w:pPr>
    </w:p>
    <w:p w14:paraId="30E79DE8" w14:textId="304E838F" w:rsidR="00CF7814" w:rsidRPr="00616282" w:rsidRDefault="00394097">
      <w:pPr>
        <w:rPr>
          <w:rFonts w:ascii="Calibri" w:hAnsi="Calibri" w:cs="Calibri"/>
          <w:b/>
          <w:bCs/>
          <w:color w:val="ED7D31" w:themeColor="accent2"/>
          <w:lang w:val="en-GB"/>
        </w:rPr>
      </w:pPr>
      <w:bookmarkStart w:id="17" w:name="_Toc167079286"/>
      <w:bookmarkStart w:id="18" w:name="_Toc167079476"/>
      <w:bookmarkStart w:id="19" w:name="_Toc171908195"/>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Physical Risk Exposure Reporting Template Part A</w:t>
      </w:r>
      <w:bookmarkEnd w:id="17"/>
      <w:bookmarkEnd w:id="18"/>
      <w:bookmarkEnd w:id="19"/>
    </w:p>
    <w:p w14:paraId="444609D1" w14:textId="3DF80200" w:rsidR="003F2D19" w:rsidRPr="00616282" w:rsidRDefault="003B4354" w:rsidP="007E6EB1">
      <w:pPr>
        <w:jc w:val="both"/>
        <w:rPr>
          <w:rFonts w:ascii="Calibri" w:hAnsi="Calibri" w:cs="Calibri"/>
        </w:rPr>
      </w:pPr>
      <w:r w:rsidRPr="003B4354">
        <w:rPr>
          <w:rFonts w:ascii="Calibri" w:hAnsi="Calibri" w:cs="Calibri"/>
          <w:noProof/>
        </w:rPr>
        <w:drawing>
          <wp:inline distT="0" distB="0" distL="0" distR="0" wp14:anchorId="1287DDA4" wp14:editId="71BFD530">
            <wp:extent cx="5729373" cy="2413000"/>
            <wp:effectExtent l="19050" t="19050" r="24130" b="25400"/>
            <wp:docPr id="8575698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569871" name=""/>
                    <pic:cNvPicPr/>
                  </pic:nvPicPr>
                  <pic:blipFill rotWithShape="1">
                    <a:blip r:embed="rId14"/>
                    <a:srcRect r="69394"/>
                    <a:stretch/>
                  </pic:blipFill>
                  <pic:spPr bwMode="auto">
                    <a:xfrm>
                      <a:off x="0" y="0"/>
                      <a:ext cx="5779795" cy="2434236"/>
                    </a:xfrm>
                    <a:prstGeom prst="rect">
                      <a:avLst/>
                    </a:prstGeom>
                    <a:ln>
                      <a:solidFill>
                        <a:schemeClr val="tx1"/>
                      </a:solidFill>
                    </a:ln>
                    <a:effectLst>
                      <a:softEdge rad="0"/>
                    </a:effectLst>
                    <a:extLst>
                      <a:ext uri="{53640926-AAD7-44D8-BBD7-CCE9431645EC}">
                        <a14:shadowObscured xmlns:a14="http://schemas.microsoft.com/office/drawing/2010/main"/>
                      </a:ext>
                    </a:extLst>
                  </pic:spPr>
                </pic:pic>
              </a:graphicData>
            </a:graphic>
          </wp:inline>
        </w:drawing>
      </w:r>
    </w:p>
    <w:p w14:paraId="10924C59" w14:textId="7FED06E2" w:rsidR="005432CF" w:rsidRPr="00616282" w:rsidRDefault="00EE00B5" w:rsidP="00616282">
      <w:pPr>
        <w:jc w:val="both"/>
        <w:rPr>
          <w:rFonts w:ascii="Calibri" w:hAnsi="Calibri" w:cs="Calibri"/>
          <w:sz w:val="20"/>
          <w:szCs w:val="20"/>
          <w:lang w:val="en-GB"/>
        </w:rPr>
      </w:pPr>
      <w:r w:rsidRPr="00616282">
        <w:rPr>
          <w:rFonts w:ascii="Calibri" w:hAnsi="Calibri" w:cs="Calibri"/>
          <w:b/>
          <w:bCs/>
          <w:sz w:val="20"/>
          <w:szCs w:val="20"/>
          <w:lang w:val="en-GB"/>
        </w:rPr>
        <w:t>Source</w:t>
      </w:r>
      <w:r w:rsidR="004B433A"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089DC264" w14:textId="355826EE" w:rsidR="00D35748" w:rsidRPr="00616282" w:rsidRDefault="00D35748">
      <w:pPr>
        <w:rPr>
          <w:rFonts w:ascii="Calibri" w:hAnsi="Calibri" w:cs="Calibri"/>
          <w:b/>
          <w:bCs/>
          <w:color w:val="ED7D31" w:themeColor="accent2"/>
          <w:lang w:val="en-GB"/>
        </w:rPr>
      </w:pPr>
      <w:bookmarkStart w:id="20" w:name="_Toc167079287"/>
      <w:bookmarkStart w:id="21" w:name="_Toc167079477"/>
      <w:bookmarkStart w:id="22" w:name="_Toc171908196"/>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Physical Risk Exposure Reporting Template Part B</w:t>
      </w:r>
      <w:bookmarkEnd w:id="20"/>
      <w:bookmarkEnd w:id="21"/>
      <w:bookmarkEnd w:id="22"/>
    </w:p>
    <w:p w14:paraId="4FCBBC73" w14:textId="77777777" w:rsidR="00467B15" w:rsidRPr="00616282" w:rsidRDefault="00467B15">
      <w:pPr>
        <w:rPr>
          <w:rFonts w:ascii="Calibri" w:hAnsi="Calibri" w:cs="Calibri"/>
          <w:b/>
          <w:bCs/>
          <w:color w:val="ED7D31" w:themeColor="accent2"/>
          <w:lang w:val="en-GB"/>
        </w:rPr>
      </w:pPr>
    </w:p>
    <w:p w14:paraId="1544A4F2" w14:textId="07A69139" w:rsidR="00467B15" w:rsidRPr="00616282" w:rsidRDefault="00467B15">
      <w:pPr>
        <w:rPr>
          <w:rFonts w:ascii="Calibri" w:hAnsi="Calibri" w:cs="Calibri"/>
          <w:b/>
          <w:bCs/>
          <w:color w:val="ED7D31" w:themeColor="accent2"/>
          <w:lang w:val="en-GB"/>
        </w:rPr>
      </w:pPr>
      <w:r w:rsidRPr="00616282">
        <w:rPr>
          <w:rFonts w:ascii="Calibri" w:hAnsi="Calibri" w:cs="Calibri"/>
          <w:b/>
          <w:bCs/>
          <w:noProof/>
          <w:color w:val="ED7D31" w:themeColor="accent2"/>
          <w:lang w:val="en-GB"/>
        </w:rPr>
        <w:drawing>
          <wp:inline distT="0" distB="0" distL="0" distR="0" wp14:anchorId="1C1DDF46" wp14:editId="65DB7566">
            <wp:extent cx="5731510" cy="2082800"/>
            <wp:effectExtent l="0" t="0" r="0" b="0"/>
            <wp:docPr id="7397144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714424" name=""/>
                    <pic:cNvPicPr/>
                  </pic:nvPicPr>
                  <pic:blipFill>
                    <a:blip r:embed="rId15"/>
                    <a:stretch>
                      <a:fillRect/>
                    </a:stretch>
                  </pic:blipFill>
                  <pic:spPr>
                    <a:xfrm>
                      <a:off x="0" y="0"/>
                      <a:ext cx="5731510" cy="2082800"/>
                    </a:xfrm>
                    <a:prstGeom prst="rect">
                      <a:avLst/>
                    </a:prstGeom>
                  </pic:spPr>
                </pic:pic>
              </a:graphicData>
            </a:graphic>
          </wp:inline>
        </w:drawing>
      </w:r>
    </w:p>
    <w:p w14:paraId="3F26E39E" w14:textId="30EC91B6" w:rsidR="00E262F8" w:rsidRPr="00616282" w:rsidRDefault="00E262F8" w:rsidP="00616282">
      <w:pPr>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r w:rsidRPr="00616282">
        <w:rPr>
          <w:rFonts w:ascii="Calibri" w:hAnsi="Calibri" w:cs="Calibri"/>
          <w:sz w:val="20"/>
          <w:szCs w:val="20"/>
        </w:rPr>
        <w:t xml:space="preserve"> </w:t>
      </w:r>
    </w:p>
    <w:p w14:paraId="22C012A8" w14:textId="77777777" w:rsidR="00DD22D1" w:rsidRPr="00616282" w:rsidRDefault="00DD22D1" w:rsidP="00FB0DA0">
      <w:pPr>
        <w:rPr>
          <w:rFonts w:ascii="Calibri" w:hAnsi="Calibri" w:cs="Calibri"/>
        </w:rPr>
      </w:pPr>
    </w:p>
    <w:p w14:paraId="0E3C790F" w14:textId="4860B836" w:rsidR="00407841" w:rsidRPr="00616282" w:rsidRDefault="00DD22D1" w:rsidP="000B1781">
      <w:pPr>
        <w:jc w:val="both"/>
        <w:rPr>
          <w:rFonts w:ascii="Calibri" w:hAnsi="Calibri" w:cs="Calibri"/>
          <w:lang w:val="en-GB"/>
        </w:rPr>
      </w:pPr>
      <w:r w:rsidRPr="00616282">
        <w:rPr>
          <w:rFonts w:ascii="Calibri" w:hAnsi="Calibri" w:cs="Calibri"/>
          <w:lang w:val="en-GB"/>
        </w:rPr>
        <w:t xml:space="preserve">To aide in the self-assessment, CBK has modelled the </w:t>
      </w:r>
      <w:r w:rsidR="004A34BB" w:rsidRPr="00616282">
        <w:rPr>
          <w:rFonts w:ascii="Calibri" w:hAnsi="Calibri" w:cs="Calibri"/>
          <w:lang w:val="en-GB"/>
        </w:rPr>
        <w:t>dominant hazards across Kenya and provided a risk score.</w:t>
      </w:r>
      <w:r w:rsidR="00407841" w:rsidRPr="00616282">
        <w:rPr>
          <w:rFonts w:ascii="Calibri" w:hAnsi="Calibri" w:cs="Calibri"/>
          <w:lang w:val="en-GB"/>
        </w:rPr>
        <w:t xml:space="preserve"> These are found in the Templates.</w:t>
      </w:r>
    </w:p>
    <w:p w14:paraId="4193BE2F" w14:textId="77777777" w:rsidR="00407841" w:rsidRPr="00616282" w:rsidRDefault="00407841" w:rsidP="004B3749">
      <w:pPr>
        <w:pStyle w:val="ListParagraph"/>
        <w:contextualSpacing w:val="0"/>
        <w:outlineLvl w:val="0"/>
        <w:rPr>
          <w:rFonts w:ascii="Calibri" w:hAnsi="Calibri" w:cs="Calibri"/>
          <w:b/>
          <w:bCs/>
          <w:color w:val="ED7D31" w:themeColor="accent2"/>
          <w:lang w:val="en-GB"/>
        </w:rPr>
      </w:pPr>
    </w:p>
    <w:p w14:paraId="4CEC5743" w14:textId="41909824" w:rsidR="00C97DE7" w:rsidRPr="00616282" w:rsidRDefault="00C97DE7" w:rsidP="00616282">
      <w:pPr>
        <w:rPr>
          <w:rFonts w:ascii="Calibri" w:hAnsi="Calibri" w:cs="Calibri"/>
          <w:b/>
          <w:bCs/>
          <w:color w:val="ED7D31" w:themeColor="accent2"/>
          <w:lang w:val="en-GB"/>
        </w:rPr>
      </w:pPr>
      <w:bookmarkStart w:id="23" w:name="_Toc167079288"/>
      <w:bookmarkStart w:id="24" w:name="_Toc167079478"/>
      <w:bookmarkStart w:id="25" w:name="_Toc171908197"/>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217248">
        <w:rPr>
          <w:rFonts w:ascii="Calibri" w:hAnsi="Calibri" w:cs="Calibri"/>
          <w:b/>
          <w:bCs/>
          <w:color w:val="ED7D31" w:themeColor="accent2"/>
          <w:lang w:val="en-GB"/>
        </w:rPr>
        <w:t>Tool for the identification of</w:t>
      </w:r>
      <w:r w:rsidRPr="00616282">
        <w:rPr>
          <w:rFonts w:ascii="Calibri" w:hAnsi="Calibri" w:cs="Calibri"/>
          <w:b/>
          <w:bCs/>
          <w:color w:val="ED7D31" w:themeColor="accent2"/>
          <w:lang w:val="en-GB"/>
        </w:rPr>
        <w:t xml:space="preserve"> hazards by county and risk level scores</w:t>
      </w:r>
      <w:bookmarkEnd w:id="23"/>
      <w:bookmarkEnd w:id="24"/>
      <w:bookmarkEnd w:id="25"/>
    </w:p>
    <w:p w14:paraId="3EC3E68E" w14:textId="474FB4E9" w:rsidR="00467B15" w:rsidRPr="00616282" w:rsidRDefault="00467B15" w:rsidP="00DD22D1">
      <w:pPr>
        <w:jc w:val="both"/>
        <w:rPr>
          <w:rFonts w:ascii="Calibri" w:hAnsi="Calibri" w:cs="Calibri"/>
          <w:noProof/>
          <w14:ligatures w14:val="standardContextual"/>
        </w:rPr>
      </w:pPr>
    </w:p>
    <w:p w14:paraId="39E3F18B" w14:textId="62D5CA6F" w:rsidR="00407841" w:rsidRPr="00616282" w:rsidRDefault="00467B15" w:rsidP="00DD22D1">
      <w:pPr>
        <w:jc w:val="both"/>
        <w:rPr>
          <w:rFonts w:ascii="Calibri" w:hAnsi="Calibri" w:cs="Calibri"/>
          <w:lang w:val="en-GB"/>
        </w:rPr>
      </w:pPr>
      <w:r w:rsidRPr="00616282">
        <w:rPr>
          <w:rFonts w:ascii="Calibri" w:hAnsi="Calibri" w:cs="Calibri"/>
          <w:noProof/>
          <w14:ligatures w14:val="standardContextual"/>
        </w:rPr>
        <w:drawing>
          <wp:inline distT="0" distB="0" distL="0" distR="0" wp14:anchorId="5C270BBF" wp14:editId="26B87294">
            <wp:extent cx="5731510" cy="2343785"/>
            <wp:effectExtent l="0" t="0" r="0" b="5715"/>
            <wp:docPr id="11434302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430265" name=""/>
                    <pic:cNvPicPr/>
                  </pic:nvPicPr>
                  <pic:blipFill>
                    <a:blip r:embed="rId16"/>
                    <a:stretch>
                      <a:fillRect/>
                    </a:stretch>
                  </pic:blipFill>
                  <pic:spPr>
                    <a:xfrm>
                      <a:off x="0" y="0"/>
                      <a:ext cx="5731510" cy="2343785"/>
                    </a:xfrm>
                    <a:prstGeom prst="rect">
                      <a:avLst/>
                    </a:prstGeom>
                  </pic:spPr>
                </pic:pic>
              </a:graphicData>
            </a:graphic>
          </wp:inline>
        </w:drawing>
      </w:r>
    </w:p>
    <w:p w14:paraId="369C2F49" w14:textId="77777777" w:rsidR="00407841" w:rsidRDefault="00407841" w:rsidP="00DD22D1">
      <w:pPr>
        <w:jc w:val="both"/>
        <w:rPr>
          <w:rFonts w:ascii="Calibri" w:hAnsi="Calibri" w:cs="Calibri"/>
          <w:lang w:val="en-GB"/>
        </w:rPr>
      </w:pPr>
    </w:p>
    <w:p w14:paraId="626FF6C7" w14:textId="3A42DAEB" w:rsidR="009B19B2" w:rsidRPr="009B19B2" w:rsidRDefault="009B19B2" w:rsidP="009B19B2">
      <w:pPr>
        <w:jc w:val="both"/>
        <w:rPr>
          <w:rFonts w:ascii="Calibri" w:hAnsi="Calibri" w:cs="Calibri"/>
        </w:rPr>
      </w:pPr>
      <w:r w:rsidRPr="009B19B2">
        <w:rPr>
          <w:rFonts w:ascii="Calibri" w:hAnsi="Calibri" w:cs="Calibri"/>
        </w:rPr>
        <w:t>The table provides climate risk levels for various counties in Kenya, covering heat stress, flooding, wildfires, and landslides across different time periods (1980-2020, 2020-2040, and 2040-2060).</w:t>
      </w:r>
      <w:r>
        <w:rPr>
          <w:rFonts w:ascii="Calibri" w:hAnsi="Calibri" w:cs="Calibri"/>
        </w:rPr>
        <w:t xml:space="preserve"> First, </w:t>
      </w:r>
      <w:r w:rsidRPr="009B19B2">
        <w:rPr>
          <w:rFonts w:ascii="Calibri" w:hAnsi="Calibri" w:cs="Calibri"/>
        </w:rPr>
        <w:t>Identify the County: Locate the county you are interested in using the "County" column.</w:t>
      </w:r>
      <w:r>
        <w:rPr>
          <w:rFonts w:ascii="Calibri" w:hAnsi="Calibri" w:cs="Calibri"/>
        </w:rPr>
        <w:t xml:space="preserve"> Second. </w:t>
      </w:r>
      <w:r w:rsidRPr="009B19B2">
        <w:rPr>
          <w:rFonts w:ascii="Calibri" w:hAnsi="Calibri" w:cs="Calibri"/>
        </w:rPr>
        <w:t>Check Risk Categories: Look at the columns labeled for different risks: Heat Stress, Flooding, Wildfires, and Landslides. Each risk type has data for three time periods.</w:t>
      </w:r>
    </w:p>
    <w:p w14:paraId="4C296645" w14:textId="7672DAC0" w:rsidR="009B19B2" w:rsidRPr="00CB4FD6" w:rsidRDefault="009B19B2" w:rsidP="009B19B2">
      <w:pPr>
        <w:jc w:val="both"/>
        <w:rPr>
          <w:rFonts w:ascii="Calibri" w:hAnsi="Calibri" w:cs="Calibri"/>
        </w:rPr>
      </w:pPr>
      <w:r>
        <w:rPr>
          <w:rFonts w:ascii="Calibri" w:hAnsi="Calibri" w:cs="Calibri"/>
        </w:rPr>
        <w:t>Third</w:t>
      </w:r>
      <w:r w:rsidRPr="009B19B2">
        <w:rPr>
          <w:rFonts w:ascii="Calibri" w:hAnsi="Calibri" w:cs="Calibri"/>
        </w:rPr>
        <w:t>. Understand Risk Levels: Risk levels range from 1 to 5, with 5 being the highest risk. Compare the risk levels across different time periods to see how risks change over time.</w:t>
      </w:r>
    </w:p>
    <w:p w14:paraId="5B45F38C" w14:textId="77777777" w:rsidR="009B19B2" w:rsidRPr="00616282" w:rsidRDefault="009B19B2" w:rsidP="00DD22D1">
      <w:pPr>
        <w:jc w:val="both"/>
        <w:rPr>
          <w:rFonts w:ascii="Calibri" w:hAnsi="Calibri" w:cs="Calibri"/>
          <w:lang w:val="en-GB"/>
        </w:rPr>
      </w:pPr>
    </w:p>
    <w:p w14:paraId="3D987286" w14:textId="2138B3B2" w:rsidR="00DD22D1" w:rsidRPr="00616282" w:rsidRDefault="00CD0D45" w:rsidP="00DD22D1">
      <w:pPr>
        <w:jc w:val="both"/>
        <w:rPr>
          <w:rFonts w:ascii="Calibri" w:hAnsi="Calibri" w:cs="Calibri"/>
          <w:lang w:val="en-GB"/>
        </w:rPr>
      </w:pPr>
      <w:r w:rsidRPr="00616282">
        <w:rPr>
          <w:rFonts w:ascii="Calibri" w:hAnsi="Calibri" w:cs="Calibri"/>
          <w:lang w:val="en-GB"/>
        </w:rPr>
        <w:t>The risk scores provided are based on</w:t>
      </w:r>
      <w:r w:rsidR="00AD0017" w:rsidRPr="00616282">
        <w:rPr>
          <w:rFonts w:ascii="Calibri" w:hAnsi="Calibri" w:cs="Calibri"/>
          <w:lang w:val="en-GB"/>
        </w:rPr>
        <w:t xml:space="preserve"> Representative Concentration Pathway</w:t>
      </w:r>
      <w:r w:rsidRPr="00616282">
        <w:rPr>
          <w:rFonts w:ascii="Calibri" w:hAnsi="Calibri" w:cs="Calibri"/>
          <w:lang w:val="en-GB"/>
        </w:rPr>
        <w:t xml:space="preserve"> </w:t>
      </w:r>
      <w:r w:rsidR="00AD0017" w:rsidRPr="00616282">
        <w:rPr>
          <w:rFonts w:ascii="Calibri" w:hAnsi="Calibri" w:cs="Calibri"/>
          <w:lang w:val="en-GB"/>
        </w:rPr>
        <w:t>(“</w:t>
      </w:r>
      <w:r w:rsidR="00DD22D1" w:rsidRPr="00616282">
        <w:rPr>
          <w:rFonts w:ascii="Calibri" w:hAnsi="Calibri" w:cs="Calibri"/>
          <w:lang w:val="en-GB"/>
        </w:rPr>
        <w:t>RCP</w:t>
      </w:r>
      <w:r w:rsidR="00AD0017" w:rsidRPr="00616282">
        <w:rPr>
          <w:rFonts w:ascii="Calibri" w:hAnsi="Calibri" w:cs="Calibri"/>
          <w:lang w:val="en-GB"/>
        </w:rPr>
        <w:t>”)</w:t>
      </w:r>
      <w:r w:rsidR="00275544" w:rsidRPr="00616282">
        <w:rPr>
          <w:rFonts w:ascii="Calibri" w:hAnsi="Calibri" w:cs="Calibri"/>
          <w:lang w:val="en-GB"/>
        </w:rPr>
        <w:t xml:space="preserve"> </w:t>
      </w:r>
      <w:r w:rsidR="00DD22D1" w:rsidRPr="00616282">
        <w:rPr>
          <w:rFonts w:ascii="Calibri" w:hAnsi="Calibri" w:cs="Calibri"/>
          <w:lang w:val="en-GB"/>
        </w:rPr>
        <w:t xml:space="preserve">6.0 </w:t>
      </w:r>
      <w:r w:rsidR="00275544" w:rsidRPr="00616282">
        <w:rPr>
          <w:rFonts w:ascii="Calibri" w:hAnsi="Calibri" w:cs="Calibri"/>
          <w:lang w:val="en-GB"/>
        </w:rPr>
        <w:t xml:space="preserve">– which </w:t>
      </w:r>
      <w:r w:rsidR="00DD22D1" w:rsidRPr="00616282">
        <w:rPr>
          <w:rFonts w:ascii="Calibri" w:hAnsi="Calibri" w:cs="Calibri"/>
          <w:lang w:val="en-GB"/>
        </w:rPr>
        <w:t xml:space="preserve">is one of the two intermediate stabilization pathways (higher medium) among the four </w:t>
      </w:r>
      <w:r w:rsidR="00AD0017" w:rsidRPr="00616282">
        <w:rPr>
          <w:rFonts w:ascii="Calibri" w:hAnsi="Calibri" w:cs="Calibri"/>
          <w:lang w:val="en-GB"/>
        </w:rPr>
        <w:t>RCPs</w:t>
      </w:r>
      <w:r w:rsidR="00DD22D1" w:rsidRPr="00616282">
        <w:rPr>
          <w:rFonts w:ascii="Calibri" w:hAnsi="Calibri" w:cs="Calibri"/>
          <w:lang w:val="en-GB"/>
        </w:rPr>
        <w:t xml:space="preserve">, </w:t>
      </w:r>
      <w:r w:rsidR="00457BC1">
        <w:rPr>
          <w:rFonts w:ascii="Calibri" w:hAnsi="Calibri" w:cs="Calibri"/>
          <w:lang w:val="en-GB"/>
        </w:rPr>
        <w:t xml:space="preserve">with </w:t>
      </w:r>
      <w:r w:rsidR="00DD22D1" w:rsidRPr="00616282">
        <w:rPr>
          <w:rFonts w:ascii="Calibri" w:hAnsi="Calibri" w:cs="Calibri"/>
          <w:lang w:val="en-GB"/>
        </w:rPr>
        <w:t>the lower intermediate stabilization pathway being RCP4.5.</w:t>
      </w:r>
      <w:r w:rsidR="009F108F" w:rsidRPr="00616282">
        <w:rPr>
          <w:rStyle w:val="FootnoteReference"/>
          <w:rFonts w:ascii="Calibri" w:hAnsi="Calibri" w:cs="Calibri"/>
          <w:lang w:val="en-GB"/>
        </w:rPr>
        <w:footnoteReference w:id="7"/>
      </w:r>
      <w:r w:rsidR="00DD22D1" w:rsidRPr="00616282">
        <w:rPr>
          <w:rFonts w:ascii="Calibri" w:hAnsi="Calibri" w:cs="Calibri"/>
          <w:lang w:val="en-GB"/>
        </w:rPr>
        <w:t xml:space="preserve"> </w:t>
      </w:r>
    </w:p>
    <w:p w14:paraId="7501D603" w14:textId="60741324" w:rsidR="009F108F" w:rsidRPr="00616282" w:rsidRDefault="009F108F" w:rsidP="00B720D9">
      <w:pPr>
        <w:pStyle w:val="Heading2"/>
        <w:rPr>
          <w:rFonts w:ascii="Calibri" w:hAnsi="Calibri" w:cs="Calibri"/>
          <w:lang w:val="en-GB"/>
        </w:rPr>
      </w:pPr>
      <w:bookmarkStart w:id="26" w:name="_Toc171908182"/>
      <w:r w:rsidRPr="00616282">
        <w:rPr>
          <w:rFonts w:ascii="Calibri" w:hAnsi="Calibri" w:cs="Calibri"/>
          <w:lang w:val="en-GB"/>
        </w:rPr>
        <w:lastRenderedPageBreak/>
        <w:t>Transition Risk Exposures</w:t>
      </w:r>
      <w:bookmarkEnd w:id="26"/>
    </w:p>
    <w:p w14:paraId="61A59527" w14:textId="77777777" w:rsidR="00B720D9" w:rsidRPr="00616282" w:rsidRDefault="00B720D9" w:rsidP="004B3749">
      <w:pPr>
        <w:jc w:val="both"/>
        <w:rPr>
          <w:rFonts w:ascii="Calibri" w:hAnsi="Calibri" w:cs="Calibri"/>
          <w:lang w:val="en-GB"/>
        </w:rPr>
      </w:pPr>
    </w:p>
    <w:p w14:paraId="32B8F374" w14:textId="07531270" w:rsidR="00B33E99" w:rsidRPr="00616282" w:rsidRDefault="002B6BDA" w:rsidP="004B3749">
      <w:pPr>
        <w:jc w:val="both"/>
        <w:rPr>
          <w:rFonts w:ascii="Calibri" w:hAnsi="Calibri" w:cs="Calibri"/>
          <w:lang w:val="en-GB"/>
        </w:rPr>
      </w:pPr>
      <w:r w:rsidRPr="00616282">
        <w:rPr>
          <w:rFonts w:ascii="Calibri" w:hAnsi="Calibri" w:cs="Calibri"/>
          <w:lang w:val="en-GB"/>
        </w:rPr>
        <w:t xml:space="preserve">In line with leading international supervisory </w:t>
      </w:r>
      <w:r w:rsidR="00CA00D2" w:rsidRPr="00616282">
        <w:rPr>
          <w:rFonts w:ascii="Calibri" w:hAnsi="Calibri" w:cs="Calibri"/>
          <w:lang w:val="en-GB"/>
        </w:rPr>
        <w:t>authorities’ views on transition risk</w:t>
      </w:r>
      <w:r w:rsidR="00120492">
        <w:rPr>
          <w:rFonts w:ascii="Calibri" w:hAnsi="Calibri" w:cs="Calibri"/>
          <w:lang w:val="en-GB"/>
        </w:rPr>
        <w:t>,</w:t>
      </w:r>
      <w:r w:rsidR="00CA00D2" w:rsidRPr="00616282">
        <w:rPr>
          <w:rFonts w:ascii="Calibri" w:hAnsi="Calibri" w:cs="Calibri"/>
          <w:lang w:val="en-GB"/>
        </w:rPr>
        <w:t xml:space="preserve"> the CBK is requesting </w:t>
      </w:r>
      <w:r w:rsidR="00120492">
        <w:rPr>
          <w:rFonts w:ascii="Calibri" w:hAnsi="Calibri" w:cs="Calibri"/>
          <w:lang w:val="en-GB"/>
        </w:rPr>
        <w:t xml:space="preserve">for disclosure of </w:t>
      </w:r>
      <w:r w:rsidR="00865E7E" w:rsidRPr="00616282">
        <w:rPr>
          <w:rFonts w:ascii="Calibri" w:hAnsi="Calibri" w:cs="Calibri"/>
          <w:lang w:val="en-GB"/>
        </w:rPr>
        <w:t xml:space="preserve">gross amounts to sectors deemed to be most </w:t>
      </w:r>
      <w:r w:rsidR="00E63157" w:rsidRPr="00616282">
        <w:rPr>
          <w:rFonts w:ascii="Calibri" w:hAnsi="Calibri" w:cs="Calibri"/>
          <w:lang w:val="en-GB"/>
        </w:rPr>
        <w:t>at-risk to the low carbon development pathway of Kenya and globally. These mostly include high</w:t>
      </w:r>
      <w:r w:rsidR="00120492">
        <w:rPr>
          <w:rFonts w:ascii="Calibri" w:hAnsi="Calibri" w:cs="Calibri"/>
          <w:lang w:val="en-GB"/>
        </w:rPr>
        <w:t>-</w:t>
      </w:r>
      <w:r w:rsidR="00E63157" w:rsidRPr="00616282">
        <w:rPr>
          <w:rFonts w:ascii="Calibri" w:hAnsi="Calibri" w:cs="Calibri"/>
          <w:lang w:val="en-GB"/>
        </w:rPr>
        <w:t>energy</w:t>
      </w:r>
      <w:r w:rsidR="00120492">
        <w:rPr>
          <w:rFonts w:ascii="Calibri" w:hAnsi="Calibri" w:cs="Calibri"/>
          <w:lang w:val="en-GB"/>
        </w:rPr>
        <w:t>-</w:t>
      </w:r>
      <w:r w:rsidR="00E63157" w:rsidRPr="00616282">
        <w:rPr>
          <w:rFonts w:ascii="Calibri" w:hAnsi="Calibri" w:cs="Calibri"/>
          <w:lang w:val="en-GB"/>
        </w:rPr>
        <w:t>intensive and therefore emission</w:t>
      </w:r>
      <w:r w:rsidR="00120492">
        <w:rPr>
          <w:rFonts w:ascii="Calibri" w:hAnsi="Calibri" w:cs="Calibri"/>
          <w:lang w:val="en-GB"/>
        </w:rPr>
        <w:t>-</w:t>
      </w:r>
      <w:r w:rsidR="00E63157" w:rsidRPr="00616282">
        <w:rPr>
          <w:rFonts w:ascii="Calibri" w:hAnsi="Calibri" w:cs="Calibri"/>
          <w:lang w:val="en-GB"/>
        </w:rPr>
        <w:t>intensive sectors</w:t>
      </w:r>
      <w:r w:rsidR="00D8687F" w:rsidRPr="00616282">
        <w:rPr>
          <w:rFonts w:ascii="Calibri" w:hAnsi="Calibri" w:cs="Calibri"/>
          <w:lang w:val="en-GB"/>
        </w:rPr>
        <w:t xml:space="preserve">. CBK is simultaneously requesting the so-called “green” allocations </w:t>
      </w:r>
      <w:r w:rsidR="00634C84" w:rsidRPr="00616282">
        <w:rPr>
          <w:rFonts w:ascii="Calibri" w:hAnsi="Calibri" w:cs="Calibri"/>
          <w:lang w:val="en-GB"/>
        </w:rPr>
        <w:t xml:space="preserve">within these sectors to ascertain net </w:t>
      </w:r>
      <w:r w:rsidR="00383F03" w:rsidRPr="00616282">
        <w:rPr>
          <w:rFonts w:ascii="Calibri" w:hAnsi="Calibri" w:cs="Calibri"/>
          <w:lang w:val="en-GB"/>
        </w:rPr>
        <w:t>unmitigated exposures to emission</w:t>
      </w:r>
      <w:r w:rsidR="00120492">
        <w:rPr>
          <w:rFonts w:ascii="Calibri" w:hAnsi="Calibri" w:cs="Calibri"/>
          <w:lang w:val="en-GB"/>
        </w:rPr>
        <w:t>-</w:t>
      </w:r>
      <w:r w:rsidR="00383F03" w:rsidRPr="00616282">
        <w:rPr>
          <w:rFonts w:ascii="Calibri" w:hAnsi="Calibri" w:cs="Calibri"/>
          <w:lang w:val="en-GB"/>
        </w:rPr>
        <w:t>intensive sectors.</w:t>
      </w:r>
    </w:p>
    <w:p w14:paraId="2D2494E3" w14:textId="77777777" w:rsidR="00AB4951" w:rsidRPr="00616282" w:rsidRDefault="00AB4951" w:rsidP="00FB0DA0">
      <w:pPr>
        <w:rPr>
          <w:rFonts w:ascii="Calibri" w:hAnsi="Calibri" w:cs="Calibri"/>
        </w:rPr>
      </w:pPr>
    </w:p>
    <w:p w14:paraId="15D32024" w14:textId="71A4B41D" w:rsidR="00AB4951" w:rsidRPr="00616282" w:rsidRDefault="00AB4951" w:rsidP="00AB4951">
      <w:pPr>
        <w:jc w:val="both"/>
        <w:rPr>
          <w:rFonts w:ascii="Calibri" w:hAnsi="Calibri" w:cs="Calibri"/>
          <w:lang w:val="en-GB"/>
        </w:rPr>
      </w:pPr>
      <w:r w:rsidRPr="00616282">
        <w:rPr>
          <w:rFonts w:ascii="Calibri" w:hAnsi="Calibri" w:cs="Calibri"/>
          <w:lang w:val="en-GB"/>
        </w:rPr>
        <w:t xml:space="preserve">In Transition Risk Exposures </w:t>
      </w:r>
      <w:r w:rsidR="004D0C64" w:rsidRPr="00616282">
        <w:rPr>
          <w:rFonts w:ascii="Calibri" w:hAnsi="Calibri" w:cs="Calibri"/>
          <w:lang w:val="en-GB"/>
        </w:rPr>
        <w:t>Part,</w:t>
      </w:r>
      <w:r w:rsidRPr="00616282">
        <w:rPr>
          <w:rFonts w:ascii="Calibri" w:hAnsi="Calibri" w:cs="Calibri"/>
          <w:lang w:val="en-GB"/>
        </w:rPr>
        <w:t xml:space="preserve"> A</w:t>
      </w:r>
      <w:r w:rsidR="009B6886">
        <w:rPr>
          <w:rFonts w:ascii="Calibri" w:hAnsi="Calibri" w:cs="Calibri"/>
          <w:lang w:val="en-GB"/>
        </w:rPr>
        <w:t xml:space="preserve">, </w:t>
      </w:r>
      <w:r w:rsidR="00120492">
        <w:rPr>
          <w:rFonts w:ascii="Calibri" w:hAnsi="Calibri" w:cs="Calibri"/>
          <w:lang w:val="en-GB"/>
        </w:rPr>
        <w:t xml:space="preserve">the </w:t>
      </w:r>
      <w:r w:rsidRPr="00616282">
        <w:rPr>
          <w:rFonts w:ascii="Calibri" w:hAnsi="Calibri" w:cs="Calibri"/>
          <w:lang w:val="en-GB"/>
        </w:rPr>
        <w:t xml:space="preserve">CBK requests the total gross outstanding amounts by sector followed by amounts of which are aligned by the bank to a green taxonomy including the recently published </w:t>
      </w:r>
      <w:r w:rsidR="00664062" w:rsidRPr="00664062">
        <w:rPr>
          <w:rFonts w:ascii="Calibri" w:hAnsi="Calibri" w:cs="Calibri"/>
          <w:lang w:val="en-GB"/>
        </w:rPr>
        <w:t xml:space="preserve">Kenya Green Finance </w:t>
      </w:r>
      <w:proofErr w:type="gramStart"/>
      <w:r w:rsidR="00664062" w:rsidRPr="00664062">
        <w:rPr>
          <w:rFonts w:ascii="Calibri" w:hAnsi="Calibri" w:cs="Calibri"/>
          <w:lang w:val="en-GB"/>
        </w:rPr>
        <w:t>Taxonomy</w:t>
      </w:r>
      <w:r w:rsidR="00120492">
        <w:rPr>
          <w:rFonts w:ascii="Calibri" w:hAnsi="Calibri" w:cs="Calibri"/>
          <w:lang w:val="en-GB"/>
        </w:rPr>
        <w:t>.</w:t>
      </w:r>
      <w:r w:rsidRPr="00616282">
        <w:rPr>
          <w:rFonts w:ascii="Calibri" w:hAnsi="Calibri" w:cs="Calibri"/>
          <w:lang w:val="en-GB"/>
        </w:rPr>
        <w:t>.</w:t>
      </w:r>
      <w:proofErr w:type="gramEnd"/>
      <w:r w:rsidRPr="00616282">
        <w:rPr>
          <w:rFonts w:ascii="Calibri" w:hAnsi="Calibri" w:cs="Calibri"/>
          <w:lang w:val="en-GB"/>
        </w:rPr>
        <w:t xml:space="preserve"> </w:t>
      </w:r>
    </w:p>
    <w:p w14:paraId="4C633AC9" w14:textId="77777777" w:rsidR="00AB4951" w:rsidRPr="00616282" w:rsidRDefault="00AB4951" w:rsidP="00FB0DA0">
      <w:pPr>
        <w:rPr>
          <w:rFonts w:ascii="Calibri" w:hAnsi="Calibri" w:cs="Calibri"/>
        </w:rPr>
      </w:pPr>
    </w:p>
    <w:p w14:paraId="0FCE9567" w14:textId="5C0D9221" w:rsidR="0088123A" w:rsidRPr="00616282" w:rsidRDefault="0088123A">
      <w:pPr>
        <w:rPr>
          <w:rFonts w:ascii="Calibri" w:hAnsi="Calibri" w:cs="Calibri"/>
          <w:b/>
          <w:bCs/>
          <w:color w:val="ED7D31" w:themeColor="accent2"/>
          <w:lang w:val="en-GB"/>
        </w:rPr>
      </w:pPr>
      <w:bookmarkStart w:id="27" w:name="_Toc167079289"/>
      <w:bookmarkStart w:id="28" w:name="_Toc167079479"/>
      <w:bookmarkStart w:id="29" w:name="_Toc171908198"/>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4</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A</w:t>
      </w:r>
      <w:bookmarkEnd w:id="27"/>
      <w:bookmarkEnd w:id="28"/>
      <w:bookmarkEnd w:id="29"/>
    </w:p>
    <w:p w14:paraId="11788B59" w14:textId="569EB265" w:rsidR="00553E81" w:rsidRPr="00616282" w:rsidRDefault="00F56FA7" w:rsidP="00FB0DA0">
      <w:pPr>
        <w:rPr>
          <w:rFonts w:ascii="Calibri" w:hAnsi="Calibri" w:cs="Calibri"/>
        </w:rPr>
      </w:pPr>
      <w:r w:rsidRPr="00F56FA7">
        <w:rPr>
          <w:rFonts w:ascii="Calibri" w:hAnsi="Calibri" w:cs="Calibri"/>
          <w:noProof/>
        </w:rPr>
        <w:drawing>
          <wp:inline distT="0" distB="0" distL="0" distR="0" wp14:anchorId="771F3689" wp14:editId="43335CF6">
            <wp:extent cx="6353524" cy="2857500"/>
            <wp:effectExtent l="0" t="0" r="9525" b="0"/>
            <wp:docPr id="1645948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948253" name=""/>
                    <pic:cNvPicPr/>
                  </pic:nvPicPr>
                  <pic:blipFill>
                    <a:blip r:embed="rId17"/>
                    <a:stretch>
                      <a:fillRect/>
                    </a:stretch>
                  </pic:blipFill>
                  <pic:spPr>
                    <a:xfrm>
                      <a:off x="0" y="0"/>
                      <a:ext cx="6354455" cy="2857919"/>
                    </a:xfrm>
                    <a:prstGeom prst="rect">
                      <a:avLst/>
                    </a:prstGeom>
                  </pic:spPr>
                </pic:pic>
              </a:graphicData>
            </a:graphic>
          </wp:inline>
        </w:drawing>
      </w:r>
    </w:p>
    <w:p w14:paraId="714067D7" w14:textId="745D1538"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 xml:space="preserve">Adapted from the European Banking Authority. 2022. Final report draft Implementing Technical Standards (ITS) on prudential disclosures on </w:t>
      </w:r>
      <w:proofErr w:type="gramStart"/>
      <w:r w:rsidR="00C807D2">
        <w:rPr>
          <w:rFonts w:ascii="Calibri" w:hAnsi="Calibri" w:cs="Calibri"/>
          <w:sz w:val="20"/>
          <w:szCs w:val="20"/>
          <w:lang w:val="en-GB"/>
        </w:rPr>
        <w:t>ESG.</w:t>
      </w:r>
      <w:r w:rsidRPr="00616282">
        <w:rPr>
          <w:rFonts w:ascii="Calibri" w:hAnsi="Calibri" w:cs="Calibri"/>
          <w:sz w:val="20"/>
          <w:szCs w:val="20"/>
        </w:rPr>
        <w:t>.</w:t>
      </w:r>
      <w:proofErr w:type="gramEnd"/>
      <w:r w:rsidRPr="00616282">
        <w:rPr>
          <w:rFonts w:ascii="Calibri" w:hAnsi="Calibri" w:cs="Calibri"/>
          <w:sz w:val="20"/>
          <w:szCs w:val="20"/>
        </w:rPr>
        <w:t xml:space="preserve"> </w:t>
      </w:r>
    </w:p>
    <w:p w14:paraId="4F830195" w14:textId="1EED9D1B" w:rsidR="0088123A" w:rsidRPr="00616282" w:rsidRDefault="0088123A" w:rsidP="00FB0DA0">
      <w:pPr>
        <w:rPr>
          <w:rFonts w:ascii="Calibri" w:hAnsi="Calibri" w:cs="Calibri"/>
          <w:lang w:val="en-GB"/>
        </w:rPr>
      </w:pPr>
    </w:p>
    <w:p w14:paraId="0BDE957A" w14:textId="0EDC6763" w:rsidR="00AB4951" w:rsidRPr="00616282" w:rsidRDefault="00AB4951" w:rsidP="00AB4951">
      <w:pPr>
        <w:jc w:val="both"/>
        <w:rPr>
          <w:rFonts w:ascii="Calibri" w:hAnsi="Calibri" w:cs="Calibri"/>
          <w:lang w:val="en-GB"/>
        </w:rPr>
      </w:pPr>
      <w:r w:rsidRPr="00616282">
        <w:rPr>
          <w:rFonts w:ascii="Calibri" w:hAnsi="Calibri" w:cs="Calibri"/>
          <w:lang w:val="en-GB"/>
        </w:rPr>
        <w:t>In Transition Risk Exposures Part B</w:t>
      </w:r>
      <w:r w:rsidR="00026EC4" w:rsidRPr="00026EC4">
        <w:rPr>
          <w:rFonts w:ascii="Calibri" w:hAnsi="Calibri" w:cs="Calibri"/>
          <w:highlight w:val="yellow"/>
          <w:lang w:val="en-GB"/>
        </w:rPr>
        <w:t>,</w:t>
      </w:r>
      <w:r w:rsidR="00026EC4">
        <w:rPr>
          <w:rFonts w:ascii="Calibri" w:hAnsi="Calibri" w:cs="Calibri"/>
          <w:lang w:val="en-GB"/>
        </w:rPr>
        <w:t xml:space="preserve"> </w:t>
      </w:r>
      <w:r w:rsidR="00D8084E">
        <w:rPr>
          <w:rFonts w:ascii="Calibri" w:hAnsi="Calibri" w:cs="Calibri"/>
          <w:lang w:val="en-GB"/>
        </w:rPr>
        <w:t xml:space="preserve">the </w:t>
      </w:r>
      <w:r w:rsidRPr="00616282">
        <w:rPr>
          <w:rFonts w:ascii="Calibri" w:hAnsi="Calibri" w:cs="Calibri"/>
          <w:lang w:val="en-GB"/>
        </w:rPr>
        <w:t xml:space="preserve">CBK requests </w:t>
      </w:r>
      <w:r w:rsidR="00D8084E">
        <w:rPr>
          <w:rFonts w:ascii="Calibri" w:hAnsi="Calibri" w:cs="Calibri"/>
          <w:lang w:val="en-GB"/>
        </w:rPr>
        <w:t xml:space="preserve">for disclosure of </w:t>
      </w:r>
      <w:r w:rsidRPr="00616282">
        <w:rPr>
          <w:rFonts w:ascii="Calibri" w:hAnsi="Calibri" w:cs="Calibri"/>
          <w:lang w:val="en-GB"/>
        </w:rPr>
        <w:t>the financed emissions by sector</w:t>
      </w:r>
      <w:r w:rsidR="00D8084E">
        <w:rPr>
          <w:rFonts w:ascii="Calibri" w:hAnsi="Calibri" w:cs="Calibri"/>
          <w:lang w:val="en-GB"/>
        </w:rPr>
        <w:t>,</w:t>
      </w:r>
      <w:r w:rsidRPr="00616282">
        <w:rPr>
          <w:rFonts w:ascii="Calibri" w:hAnsi="Calibri" w:cs="Calibri"/>
          <w:lang w:val="en-GB"/>
        </w:rPr>
        <w:t xml:space="preserve"> with further elaboration on the percentage of the sector measured and data quality scores. Financed emissions and emission intensities are critical to understanding transition risk exposures, progress on decarbonization targets, and alignment metrics.</w:t>
      </w:r>
    </w:p>
    <w:p w14:paraId="5AE12F40" w14:textId="77777777" w:rsidR="00AB4951" w:rsidRPr="00616282" w:rsidRDefault="00AB4951" w:rsidP="00FB0DA0">
      <w:pPr>
        <w:rPr>
          <w:rFonts w:ascii="Calibri" w:hAnsi="Calibri" w:cs="Calibri"/>
        </w:rPr>
      </w:pPr>
    </w:p>
    <w:p w14:paraId="20516B23" w14:textId="77777777" w:rsidR="00157082" w:rsidRDefault="00157082">
      <w:pPr>
        <w:rPr>
          <w:rFonts w:ascii="Calibri" w:hAnsi="Calibri" w:cs="Calibri"/>
          <w:b/>
          <w:bCs/>
          <w:color w:val="ED7D31" w:themeColor="accent2"/>
          <w:lang w:val="en-GB"/>
        </w:rPr>
      </w:pPr>
      <w:bookmarkStart w:id="30" w:name="_Toc167079290"/>
      <w:bookmarkStart w:id="31" w:name="_Toc167079480"/>
      <w:bookmarkStart w:id="32" w:name="_Toc171908199"/>
      <w:r>
        <w:rPr>
          <w:rFonts w:ascii="Calibri" w:hAnsi="Calibri" w:cs="Calibri"/>
          <w:b/>
          <w:bCs/>
          <w:color w:val="ED7D31" w:themeColor="accent2"/>
          <w:lang w:val="en-GB"/>
        </w:rPr>
        <w:br w:type="page"/>
      </w:r>
    </w:p>
    <w:p w14:paraId="57BC1D6E" w14:textId="5950A851" w:rsidR="0088123A" w:rsidRPr="00616282" w:rsidRDefault="00797526"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5</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B</w:t>
      </w:r>
      <w:bookmarkEnd w:id="30"/>
      <w:bookmarkEnd w:id="31"/>
      <w:bookmarkEnd w:id="32"/>
    </w:p>
    <w:p w14:paraId="04A9285A" w14:textId="09059F2A" w:rsidR="000F569A" w:rsidRPr="00616282" w:rsidRDefault="00D77195" w:rsidP="00FB0DA0">
      <w:pP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AF42378" wp14:editId="2852B753">
            <wp:extent cx="5600881" cy="3389321"/>
            <wp:effectExtent l="0" t="0" r="0" b="1905"/>
            <wp:docPr id="18295027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502714" name=""/>
                    <pic:cNvPicPr/>
                  </pic:nvPicPr>
                  <pic:blipFill>
                    <a:blip r:embed="rId18"/>
                    <a:stretch>
                      <a:fillRect/>
                    </a:stretch>
                  </pic:blipFill>
                  <pic:spPr>
                    <a:xfrm>
                      <a:off x="0" y="0"/>
                      <a:ext cx="5600881" cy="3389321"/>
                    </a:xfrm>
                    <a:prstGeom prst="rect">
                      <a:avLst/>
                    </a:prstGeom>
                  </pic:spPr>
                </pic:pic>
              </a:graphicData>
            </a:graphic>
          </wp:inline>
        </w:drawing>
      </w:r>
    </w:p>
    <w:p w14:paraId="6E820E27" w14:textId="39727C1B"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18C26AB4" w14:textId="77777777" w:rsidR="00A74BD5" w:rsidRPr="00616282" w:rsidRDefault="00A74BD5" w:rsidP="00FB0DA0">
      <w:pPr>
        <w:rPr>
          <w:rFonts w:ascii="Calibri" w:hAnsi="Calibri" w:cs="Calibri"/>
        </w:rPr>
      </w:pPr>
    </w:p>
    <w:p w14:paraId="104973F5" w14:textId="6E3E1C79" w:rsidR="00AB4951" w:rsidRPr="00616282" w:rsidRDefault="00AB4951" w:rsidP="00AB4951">
      <w:pPr>
        <w:jc w:val="both"/>
        <w:rPr>
          <w:rFonts w:ascii="Calibri" w:hAnsi="Calibri" w:cs="Calibri"/>
          <w:lang w:val="en-GB"/>
        </w:rPr>
      </w:pPr>
      <w:r w:rsidRPr="00616282">
        <w:rPr>
          <w:rFonts w:ascii="Calibri" w:hAnsi="Calibri" w:cs="Calibri"/>
          <w:lang w:val="en-GB"/>
        </w:rPr>
        <w:t>In Transition Risk Exposures Part C</w:t>
      </w:r>
      <w:r w:rsidR="00026EC4" w:rsidRPr="00026EC4">
        <w:rPr>
          <w:rFonts w:ascii="Calibri" w:hAnsi="Calibri" w:cs="Calibri"/>
          <w:highlight w:val="yellow"/>
          <w:lang w:val="en-GB"/>
        </w:rPr>
        <w:t>,</w:t>
      </w:r>
      <w:r w:rsidRPr="00616282">
        <w:rPr>
          <w:rFonts w:ascii="Calibri" w:hAnsi="Calibri" w:cs="Calibri"/>
          <w:lang w:val="en-GB"/>
        </w:rPr>
        <w:t xml:space="preserve"> </w:t>
      </w:r>
      <w:r w:rsidR="00D8084E">
        <w:rPr>
          <w:rFonts w:ascii="Calibri" w:hAnsi="Calibri" w:cs="Calibri"/>
          <w:lang w:val="en-GB"/>
        </w:rPr>
        <w:t xml:space="preserve">the </w:t>
      </w:r>
      <w:r w:rsidRPr="00616282">
        <w:rPr>
          <w:rFonts w:ascii="Calibri" w:hAnsi="Calibri" w:cs="Calibri"/>
          <w:lang w:val="en-GB"/>
        </w:rPr>
        <w:t>CBK requests the maturity profile of exposures by sector.</w:t>
      </w:r>
    </w:p>
    <w:p w14:paraId="01FA1604" w14:textId="77777777" w:rsidR="0048344F" w:rsidRPr="00616282" w:rsidRDefault="0048344F" w:rsidP="00FB0DA0">
      <w:pPr>
        <w:rPr>
          <w:rFonts w:ascii="Calibri" w:hAnsi="Calibri" w:cs="Calibri"/>
        </w:rPr>
      </w:pPr>
    </w:p>
    <w:p w14:paraId="5A2BEA32" w14:textId="682124CD" w:rsidR="0048344F" w:rsidRPr="00616282" w:rsidRDefault="0048344F" w:rsidP="00616282">
      <w:pPr>
        <w:rPr>
          <w:rFonts w:ascii="Calibri" w:hAnsi="Calibri" w:cs="Calibri"/>
          <w:b/>
          <w:bCs/>
          <w:color w:val="ED7D31" w:themeColor="accent2"/>
          <w:lang w:val="en-GB"/>
        </w:rPr>
      </w:pPr>
      <w:bookmarkStart w:id="33" w:name="_Toc167079291"/>
      <w:bookmarkStart w:id="34" w:name="_Toc167079481"/>
      <w:bookmarkStart w:id="35" w:name="_Toc171908200"/>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6</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C</w:t>
      </w:r>
      <w:bookmarkEnd w:id="33"/>
      <w:bookmarkEnd w:id="34"/>
      <w:bookmarkEnd w:id="35"/>
    </w:p>
    <w:p w14:paraId="0CD9DD43" w14:textId="7BBEB9C2" w:rsidR="0048344F" w:rsidRPr="00616282" w:rsidRDefault="00D77195" w:rsidP="00FB0DA0">
      <w:pP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9C86033" wp14:editId="57452467">
            <wp:extent cx="5731510" cy="3743325"/>
            <wp:effectExtent l="0" t="0" r="0" b="3175"/>
            <wp:docPr id="19868161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816192" name=""/>
                    <pic:cNvPicPr/>
                  </pic:nvPicPr>
                  <pic:blipFill>
                    <a:blip r:embed="rId19"/>
                    <a:stretch>
                      <a:fillRect/>
                    </a:stretch>
                  </pic:blipFill>
                  <pic:spPr>
                    <a:xfrm>
                      <a:off x="0" y="0"/>
                      <a:ext cx="5731510" cy="3743325"/>
                    </a:xfrm>
                    <a:prstGeom prst="rect">
                      <a:avLst/>
                    </a:prstGeom>
                  </pic:spPr>
                </pic:pic>
              </a:graphicData>
            </a:graphic>
          </wp:inline>
        </w:drawing>
      </w:r>
    </w:p>
    <w:p w14:paraId="6D5B8D33" w14:textId="5557B35B"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36CCEE4D" w14:textId="77777777" w:rsidR="0048344F" w:rsidRPr="00616282" w:rsidRDefault="0048344F" w:rsidP="0048344F">
      <w:pPr>
        <w:jc w:val="both"/>
        <w:rPr>
          <w:rFonts w:ascii="Calibri" w:eastAsiaTheme="majorEastAsia" w:hAnsi="Calibri" w:cs="Calibri"/>
          <w:color w:val="2F5496" w:themeColor="accent1" w:themeShade="BF"/>
        </w:rPr>
      </w:pPr>
    </w:p>
    <w:p w14:paraId="7D538388" w14:textId="0F952853" w:rsidR="00856169" w:rsidRPr="00616282" w:rsidRDefault="00856169" w:rsidP="0061766C">
      <w:pPr>
        <w:pStyle w:val="Heading1"/>
        <w:pBdr>
          <w:bottom w:val="single" w:sz="8" w:space="1" w:color="2E74B5" w:themeColor="accent5" w:themeShade="BF"/>
        </w:pBdr>
        <w:rPr>
          <w:rFonts w:ascii="Calibri" w:hAnsi="Calibri" w:cs="Calibri"/>
        </w:rPr>
      </w:pPr>
      <w:bookmarkStart w:id="36" w:name="_Toc167079292"/>
      <w:bookmarkStart w:id="37" w:name="_Toc167079482"/>
      <w:bookmarkStart w:id="38" w:name="_Toc171908183"/>
      <w:r w:rsidRPr="00616282">
        <w:rPr>
          <w:rFonts w:ascii="Calibri" w:hAnsi="Calibri" w:cs="Calibri"/>
        </w:rPr>
        <w:lastRenderedPageBreak/>
        <w:t>Governance</w:t>
      </w:r>
      <w:bookmarkEnd w:id="36"/>
      <w:bookmarkEnd w:id="37"/>
      <w:bookmarkEnd w:id="38"/>
      <w:r w:rsidRPr="00616282">
        <w:rPr>
          <w:rFonts w:ascii="Calibri" w:hAnsi="Calibri" w:cs="Calibri"/>
        </w:rPr>
        <w:t xml:space="preserve"> </w:t>
      </w:r>
    </w:p>
    <w:p w14:paraId="10D91F15" w14:textId="77777777" w:rsidR="005E5E6F" w:rsidRPr="00616282" w:rsidRDefault="005E5E6F" w:rsidP="00FB0DA0">
      <w:pPr>
        <w:pStyle w:val="ListParagraph"/>
        <w:ind w:left="360"/>
        <w:contextualSpacing w:val="0"/>
        <w:outlineLvl w:val="0"/>
        <w:rPr>
          <w:rFonts w:ascii="Calibri" w:hAnsi="Calibri" w:cs="Calibri"/>
          <w:lang w:val="en-GB"/>
        </w:rPr>
      </w:pPr>
    </w:p>
    <w:p w14:paraId="52342C8B" w14:textId="20889535" w:rsidR="00A468AC" w:rsidRPr="00616282" w:rsidRDefault="00A468AC" w:rsidP="00312AC3">
      <w:pPr>
        <w:jc w:val="both"/>
        <w:rPr>
          <w:rFonts w:ascii="Calibri" w:hAnsi="Calibri" w:cs="Calibri"/>
          <w:lang w:val="en-GB"/>
        </w:rPr>
      </w:pPr>
      <w:r w:rsidRPr="00616282">
        <w:rPr>
          <w:rFonts w:ascii="Calibri" w:hAnsi="Calibri" w:cs="Calibri"/>
          <w:lang w:val="en-GB"/>
        </w:rPr>
        <w:t xml:space="preserve">The </w:t>
      </w:r>
      <w:r w:rsidR="00312AC3" w:rsidRPr="00616282">
        <w:rPr>
          <w:rFonts w:ascii="Calibri" w:hAnsi="Calibri" w:cs="Calibri"/>
          <w:lang w:val="en-GB"/>
        </w:rPr>
        <w:t>CBK’s</w:t>
      </w:r>
      <w:r w:rsidRPr="00616282">
        <w:rPr>
          <w:rFonts w:ascii="Calibri" w:hAnsi="Calibri" w:cs="Calibri"/>
          <w:lang w:val="en-GB"/>
        </w:rPr>
        <w:t xml:space="preserve"> expectation</w:t>
      </w:r>
      <w:r w:rsidR="005C051B" w:rsidRPr="00616282">
        <w:rPr>
          <w:rFonts w:ascii="Calibri" w:hAnsi="Calibri" w:cs="Calibri"/>
          <w:lang w:val="en-GB"/>
        </w:rPr>
        <w:t>s</w:t>
      </w:r>
      <w:r w:rsidRPr="00616282">
        <w:rPr>
          <w:rFonts w:ascii="Calibri" w:hAnsi="Calibri" w:cs="Calibri"/>
          <w:lang w:val="en-GB"/>
        </w:rPr>
        <w:t xml:space="preserve"> on climate </w:t>
      </w:r>
      <w:r w:rsidR="004175F9" w:rsidRPr="00616282">
        <w:rPr>
          <w:rFonts w:ascii="Calibri" w:hAnsi="Calibri" w:cs="Calibri"/>
          <w:lang w:val="en-GB"/>
        </w:rPr>
        <w:t>governance</w:t>
      </w:r>
      <w:r w:rsidR="005C051B" w:rsidRPr="00616282">
        <w:rPr>
          <w:rFonts w:ascii="Calibri" w:hAnsi="Calibri" w:cs="Calibri"/>
          <w:lang w:val="en-GB"/>
        </w:rPr>
        <w:t xml:space="preserve"> </w:t>
      </w:r>
      <w:r w:rsidR="00CA49A3" w:rsidRPr="00616282">
        <w:rPr>
          <w:rFonts w:ascii="Calibri" w:hAnsi="Calibri" w:cs="Calibri"/>
          <w:lang w:val="en-GB"/>
        </w:rPr>
        <w:t>revolve around the “fit for purpose” criterion. That is ensuring</w:t>
      </w:r>
      <w:r w:rsidR="005C051B" w:rsidRPr="00616282">
        <w:rPr>
          <w:rFonts w:ascii="Calibri" w:hAnsi="Calibri" w:cs="Calibri"/>
          <w:lang w:val="en-GB"/>
        </w:rPr>
        <w:t xml:space="preserve"> proper </w:t>
      </w:r>
      <w:r w:rsidR="00324187" w:rsidRPr="00616282">
        <w:rPr>
          <w:rFonts w:ascii="Calibri" w:hAnsi="Calibri" w:cs="Calibri"/>
          <w:lang w:val="en-GB"/>
        </w:rPr>
        <w:t>governance structures</w:t>
      </w:r>
      <w:r w:rsidR="001C4D07" w:rsidRPr="00616282">
        <w:rPr>
          <w:rFonts w:ascii="Calibri" w:hAnsi="Calibri" w:cs="Calibri"/>
          <w:lang w:val="en-GB"/>
        </w:rPr>
        <w:t xml:space="preserve"> </w:t>
      </w:r>
      <w:r w:rsidR="00CA49A3" w:rsidRPr="00616282">
        <w:rPr>
          <w:rFonts w:ascii="Calibri" w:hAnsi="Calibri" w:cs="Calibri"/>
          <w:lang w:val="en-GB"/>
        </w:rPr>
        <w:t xml:space="preserve">are in place </w:t>
      </w:r>
      <w:r w:rsidR="001C4D07" w:rsidRPr="00616282">
        <w:rPr>
          <w:rFonts w:ascii="Calibri" w:hAnsi="Calibri" w:cs="Calibri"/>
          <w:lang w:val="en-GB"/>
        </w:rPr>
        <w:t>to properly assess</w:t>
      </w:r>
      <w:r w:rsidR="005A5F60" w:rsidRPr="00616282">
        <w:rPr>
          <w:rFonts w:ascii="Calibri" w:hAnsi="Calibri" w:cs="Calibri"/>
          <w:lang w:val="en-GB"/>
        </w:rPr>
        <w:t xml:space="preserve"> </w:t>
      </w:r>
      <w:r w:rsidR="005A5F60" w:rsidRPr="00616282">
        <w:rPr>
          <w:rFonts w:ascii="Calibri" w:hAnsi="Calibri" w:cs="Calibri"/>
        </w:rPr>
        <w:t xml:space="preserve">climate-related risks and opportunities, take appropriate strategic decisions </w:t>
      </w:r>
      <w:r w:rsidR="002F289E" w:rsidRPr="00616282">
        <w:rPr>
          <w:rFonts w:ascii="Calibri" w:hAnsi="Calibri" w:cs="Calibri"/>
        </w:rPr>
        <w:t>to</w:t>
      </w:r>
      <w:r w:rsidR="005A5F60" w:rsidRPr="00616282">
        <w:rPr>
          <w:rFonts w:ascii="Calibri" w:hAnsi="Calibri" w:cs="Calibri"/>
        </w:rPr>
        <w:t xml:space="preserve"> manage </w:t>
      </w:r>
      <w:r w:rsidR="002F289E" w:rsidRPr="00616282">
        <w:rPr>
          <w:rFonts w:ascii="Calibri" w:hAnsi="Calibri" w:cs="Calibri"/>
        </w:rPr>
        <w:t>them</w:t>
      </w:r>
      <w:r w:rsidR="005A5F60" w:rsidRPr="00616282">
        <w:rPr>
          <w:rFonts w:ascii="Calibri" w:hAnsi="Calibri" w:cs="Calibri"/>
        </w:rPr>
        <w:t xml:space="preserve">, and </w:t>
      </w:r>
      <w:r w:rsidR="002F289E" w:rsidRPr="00616282">
        <w:rPr>
          <w:rFonts w:ascii="Calibri" w:hAnsi="Calibri" w:cs="Calibri"/>
        </w:rPr>
        <w:t>determine</w:t>
      </w:r>
      <w:r w:rsidR="005A5F60" w:rsidRPr="00616282">
        <w:rPr>
          <w:rFonts w:ascii="Calibri" w:hAnsi="Calibri" w:cs="Calibri"/>
        </w:rPr>
        <w:t xml:space="preserve"> relevant goals and targets</w:t>
      </w:r>
      <w:r w:rsidR="00196BD8" w:rsidRPr="00616282">
        <w:rPr>
          <w:rFonts w:ascii="Calibri" w:hAnsi="Calibri" w:cs="Calibri"/>
        </w:rPr>
        <w:t xml:space="preserve"> along with progress monitoring mechanisms</w:t>
      </w:r>
      <w:r w:rsidRPr="00616282">
        <w:rPr>
          <w:rFonts w:ascii="Calibri" w:hAnsi="Calibri" w:cs="Calibri"/>
          <w:lang w:val="en-GB"/>
        </w:rPr>
        <w:t xml:space="preserve">. </w:t>
      </w:r>
      <w:r w:rsidR="005A5F60" w:rsidRPr="00616282">
        <w:rPr>
          <w:rFonts w:ascii="Calibri" w:hAnsi="Calibri" w:cs="Calibri"/>
          <w:lang w:val="en-GB"/>
        </w:rPr>
        <w:t xml:space="preserve">Banks should have </w:t>
      </w:r>
      <w:r w:rsidR="00814086" w:rsidRPr="00616282">
        <w:rPr>
          <w:rFonts w:ascii="Calibri" w:hAnsi="Calibri" w:cs="Calibri"/>
          <w:lang w:val="en-GB"/>
        </w:rPr>
        <w:t>in place robust governance</w:t>
      </w:r>
      <w:r w:rsidR="00C431FA" w:rsidRPr="00616282">
        <w:rPr>
          <w:rFonts w:ascii="Calibri" w:hAnsi="Calibri" w:cs="Calibri"/>
          <w:lang w:val="en-GB"/>
        </w:rPr>
        <w:t xml:space="preserve"> arrangements</w:t>
      </w:r>
      <w:r w:rsidR="00814086" w:rsidRPr="00616282">
        <w:rPr>
          <w:rFonts w:ascii="Calibri" w:hAnsi="Calibri" w:cs="Calibri"/>
          <w:lang w:val="en-GB"/>
        </w:rPr>
        <w:t xml:space="preserve"> that enable them to effectively identify, manage, </w:t>
      </w:r>
      <w:r w:rsidR="00DD4F7B" w:rsidRPr="00616282">
        <w:rPr>
          <w:rFonts w:ascii="Calibri" w:hAnsi="Calibri" w:cs="Calibri"/>
          <w:lang w:val="en-GB"/>
        </w:rPr>
        <w:t>monitor,</w:t>
      </w:r>
      <w:r w:rsidR="00C431FA" w:rsidRPr="00616282">
        <w:rPr>
          <w:rFonts w:ascii="Calibri" w:hAnsi="Calibri" w:cs="Calibri"/>
          <w:lang w:val="en-GB"/>
        </w:rPr>
        <w:t xml:space="preserve"> </w:t>
      </w:r>
      <w:r w:rsidR="00814086" w:rsidRPr="00616282">
        <w:rPr>
          <w:rFonts w:ascii="Calibri" w:hAnsi="Calibri" w:cs="Calibri"/>
          <w:lang w:val="en-GB"/>
        </w:rPr>
        <w:t>and report the risks they are, or might be, exposed to both on an individual and consolidated basis</w:t>
      </w:r>
      <w:r w:rsidR="00814086" w:rsidRPr="00616282">
        <w:rPr>
          <w:rStyle w:val="A1"/>
          <w:rFonts w:ascii="Calibri" w:hAnsi="Calibri" w:cs="Calibri"/>
        </w:rPr>
        <w:t xml:space="preserve">. </w:t>
      </w:r>
      <w:r w:rsidRPr="00616282">
        <w:rPr>
          <w:rFonts w:ascii="Calibri" w:hAnsi="Calibri" w:cs="Calibri"/>
          <w:lang w:val="en-GB"/>
        </w:rPr>
        <w:t xml:space="preserve">(Section </w:t>
      </w:r>
      <w:r w:rsidR="00DA1CA6" w:rsidRPr="00616282">
        <w:rPr>
          <w:rFonts w:ascii="Calibri" w:hAnsi="Calibri" w:cs="Calibri"/>
          <w:lang w:val="en-GB"/>
        </w:rPr>
        <w:t>2</w:t>
      </w:r>
      <w:r w:rsidRPr="00616282">
        <w:rPr>
          <w:rFonts w:ascii="Calibri" w:hAnsi="Calibri" w:cs="Calibri"/>
          <w:lang w:val="en-GB"/>
        </w:rPr>
        <w:t xml:space="preserve"> of the CBK Guidance on Climate-related Risk Management. 2021).</w:t>
      </w:r>
    </w:p>
    <w:p w14:paraId="7DE5CBC7" w14:textId="77777777" w:rsidR="00E81767" w:rsidRPr="00616282" w:rsidRDefault="00E81767" w:rsidP="0046333A">
      <w:pPr>
        <w:pStyle w:val="ListParagraph"/>
        <w:jc w:val="both"/>
        <w:rPr>
          <w:rFonts w:ascii="Calibri" w:hAnsi="Calibri" w:cs="Calibri"/>
          <w:lang w:val="en-GB"/>
        </w:rPr>
      </w:pPr>
    </w:p>
    <w:p w14:paraId="1CFABC7F" w14:textId="2EC99C59" w:rsidR="00A468AC" w:rsidRPr="00616282" w:rsidRDefault="001A03C9" w:rsidP="00196BD8">
      <w:pPr>
        <w:jc w:val="both"/>
        <w:rPr>
          <w:rFonts w:ascii="Calibri" w:hAnsi="Calibri" w:cs="Calibri"/>
          <w:lang w:val="en-GB"/>
        </w:rPr>
      </w:pPr>
      <w:r w:rsidRPr="00616282">
        <w:rPr>
          <w:rFonts w:ascii="Calibri" w:hAnsi="Calibri" w:cs="Calibri"/>
          <w:lang w:val="en-GB"/>
        </w:rPr>
        <w:t xml:space="preserve">Governance of </w:t>
      </w:r>
      <w:r w:rsidR="0008057D">
        <w:rPr>
          <w:rFonts w:ascii="Calibri" w:hAnsi="Calibri" w:cs="Calibri"/>
          <w:lang w:val="en-GB"/>
        </w:rPr>
        <w:t>climate-related</w:t>
      </w:r>
      <w:r w:rsidRPr="00616282">
        <w:rPr>
          <w:rFonts w:ascii="Calibri" w:hAnsi="Calibri" w:cs="Calibri"/>
          <w:lang w:val="en-GB"/>
        </w:rPr>
        <w:t xml:space="preserve"> issues can take several forms depend</w:t>
      </w:r>
      <w:r w:rsidR="00837715">
        <w:rPr>
          <w:rFonts w:ascii="Calibri" w:hAnsi="Calibri" w:cs="Calibri"/>
          <w:lang w:val="en-GB"/>
        </w:rPr>
        <w:t>ing</w:t>
      </w:r>
      <w:r w:rsidRPr="00616282">
        <w:rPr>
          <w:rFonts w:ascii="Calibri" w:hAnsi="Calibri" w:cs="Calibri"/>
          <w:lang w:val="en-GB"/>
        </w:rPr>
        <w:t xml:space="preserve"> on the bank business model, legacy issues, and </w:t>
      </w:r>
      <w:r w:rsidR="006E7495" w:rsidRPr="00616282">
        <w:rPr>
          <w:rFonts w:ascii="Calibri" w:hAnsi="Calibri" w:cs="Calibri"/>
          <w:lang w:val="en-GB"/>
        </w:rPr>
        <w:t>other attributes.</w:t>
      </w:r>
      <w:r w:rsidR="00A468AC" w:rsidRPr="00616282">
        <w:rPr>
          <w:rFonts w:ascii="Calibri" w:hAnsi="Calibri" w:cs="Calibri"/>
          <w:lang w:val="en-GB"/>
        </w:rPr>
        <w:t xml:space="preserve"> </w:t>
      </w:r>
      <w:r w:rsidR="006E7495" w:rsidRPr="00616282">
        <w:rPr>
          <w:rFonts w:ascii="Calibri" w:hAnsi="Calibri" w:cs="Calibri"/>
          <w:lang w:val="en-GB"/>
        </w:rPr>
        <w:t xml:space="preserve">What is important is demonstrating that </w:t>
      </w:r>
      <w:r w:rsidR="00A468AC" w:rsidRPr="00616282">
        <w:rPr>
          <w:rFonts w:ascii="Calibri" w:hAnsi="Calibri" w:cs="Calibri"/>
          <w:lang w:val="en-GB"/>
        </w:rPr>
        <w:t>climate risk management</w:t>
      </w:r>
      <w:r w:rsidR="006E7495" w:rsidRPr="00616282">
        <w:rPr>
          <w:rFonts w:ascii="Calibri" w:hAnsi="Calibri" w:cs="Calibri"/>
          <w:lang w:val="en-GB"/>
        </w:rPr>
        <w:t xml:space="preserve"> is </w:t>
      </w:r>
      <w:r w:rsidR="00A646F4" w:rsidRPr="00616282">
        <w:rPr>
          <w:rFonts w:ascii="Calibri" w:hAnsi="Calibri" w:cs="Calibri"/>
          <w:lang w:val="en-GB"/>
        </w:rPr>
        <w:t xml:space="preserve">engrained in the </w:t>
      </w:r>
      <w:r w:rsidR="00837715">
        <w:rPr>
          <w:rFonts w:ascii="Calibri" w:hAnsi="Calibri" w:cs="Calibri"/>
          <w:lang w:val="en-GB"/>
        </w:rPr>
        <w:t xml:space="preserve">bank’s </w:t>
      </w:r>
      <w:r w:rsidR="00A646F4" w:rsidRPr="00616282">
        <w:rPr>
          <w:rFonts w:ascii="Calibri" w:hAnsi="Calibri" w:cs="Calibri"/>
          <w:lang w:val="en-GB"/>
        </w:rPr>
        <w:t xml:space="preserve">risk culture and evidenced </w:t>
      </w:r>
      <w:r w:rsidR="00A468AC" w:rsidRPr="00616282">
        <w:rPr>
          <w:rFonts w:ascii="Calibri" w:hAnsi="Calibri" w:cs="Calibri"/>
          <w:lang w:val="en-GB"/>
        </w:rPr>
        <w:t>across departments, supporting processes, controls</w:t>
      </w:r>
      <w:r w:rsidR="00837715">
        <w:rPr>
          <w:rFonts w:ascii="Calibri" w:hAnsi="Calibri" w:cs="Calibri"/>
          <w:lang w:val="en-GB"/>
        </w:rPr>
        <w:t>,</w:t>
      </w:r>
      <w:r w:rsidR="00A468AC" w:rsidRPr="00616282">
        <w:rPr>
          <w:rFonts w:ascii="Calibri" w:hAnsi="Calibri" w:cs="Calibri"/>
          <w:lang w:val="en-GB"/>
        </w:rPr>
        <w:t xml:space="preserve"> and procedures linked to the board and management for monitoring, </w:t>
      </w:r>
      <w:r w:rsidR="00DD4F7B" w:rsidRPr="00616282">
        <w:rPr>
          <w:rFonts w:ascii="Calibri" w:hAnsi="Calibri" w:cs="Calibri"/>
          <w:lang w:val="en-GB"/>
        </w:rPr>
        <w:t>managing,</w:t>
      </w:r>
      <w:r w:rsidR="00A468AC" w:rsidRPr="00616282">
        <w:rPr>
          <w:rFonts w:ascii="Calibri" w:hAnsi="Calibri" w:cs="Calibri"/>
          <w:lang w:val="en-GB"/>
        </w:rPr>
        <w:t xml:space="preserve"> and overseeing climate-related risks and opportunities. </w:t>
      </w:r>
      <w:r w:rsidR="00143B11" w:rsidRPr="00616282">
        <w:rPr>
          <w:rFonts w:ascii="Calibri" w:hAnsi="Calibri" w:cs="Calibri"/>
          <w:lang w:val="en-GB"/>
        </w:rPr>
        <w:t xml:space="preserve">CBK does not endorse any one </w:t>
      </w:r>
      <w:r w:rsidR="00E16AA5" w:rsidRPr="00616282">
        <w:rPr>
          <w:rFonts w:ascii="Calibri" w:hAnsi="Calibri" w:cs="Calibri"/>
          <w:lang w:val="en-GB"/>
        </w:rPr>
        <w:t>structure.</w:t>
      </w:r>
      <w:r w:rsidR="00A468AC" w:rsidRPr="00616282">
        <w:rPr>
          <w:rFonts w:ascii="Calibri" w:hAnsi="Calibri" w:cs="Calibri"/>
          <w:lang w:val="en-GB"/>
        </w:rPr>
        <w:t xml:space="preserve"> </w:t>
      </w:r>
      <w:r w:rsidR="00E16AA5" w:rsidRPr="00616282">
        <w:rPr>
          <w:rFonts w:ascii="Calibri" w:hAnsi="Calibri" w:cs="Calibri"/>
          <w:lang w:val="en-GB"/>
        </w:rPr>
        <w:t>Banks should demonstrate how their</w:t>
      </w:r>
      <w:r w:rsidR="00A468AC" w:rsidRPr="00616282">
        <w:rPr>
          <w:rFonts w:ascii="Calibri" w:hAnsi="Calibri" w:cs="Calibri"/>
          <w:lang w:val="en-GB"/>
        </w:rPr>
        <w:t xml:space="preserve"> governance body, which can be materialised in the shape of a board, committee or equivalent body charged with governance, or individuals responsible for oversight of climate-related risks and opportunities</w:t>
      </w:r>
      <w:r w:rsidR="00E16AA5" w:rsidRPr="00616282">
        <w:rPr>
          <w:rFonts w:ascii="Calibri" w:hAnsi="Calibri" w:cs="Calibri"/>
          <w:lang w:val="en-GB"/>
        </w:rPr>
        <w:t>, is fit for purpose</w:t>
      </w:r>
      <w:r w:rsidR="00A468AC" w:rsidRPr="00616282">
        <w:rPr>
          <w:rFonts w:ascii="Calibri" w:hAnsi="Calibri" w:cs="Calibri"/>
          <w:lang w:val="en-GB"/>
        </w:rPr>
        <w:t>.</w:t>
      </w:r>
      <w:r w:rsidR="00E16AA5" w:rsidRPr="00616282">
        <w:rPr>
          <w:rFonts w:ascii="Calibri" w:hAnsi="Calibri" w:cs="Calibri"/>
          <w:lang w:val="en-GB"/>
        </w:rPr>
        <w:t xml:space="preserve"> Furthermore, </w:t>
      </w:r>
      <w:r w:rsidR="00A468AC" w:rsidRPr="00616282">
        <w:rPr>
          <w:rFonts w:ascii="Calibri" w:hAnsi="Calibri" w:cs="Calibri"/>
          <w:lang w:val="en-GB"/>
        </w:rPr>
        <w:t>it is necessary to define the management’s role in the governance processes, controls</w:t>
      </w:r>
      <w:r w:rsidR="00837715">
        <w:rPr>
          <w:rFonts w:ascii="Calibri" w:hAnsi="Calibri" w:cs="Calibri"/>
          <w:lang w:val="en-GB"/>
        </w:rPr>
        <w:t>,</w:t>
      </w:r>
      <w:r w:rsidR="00A468AC" w:rsidRPr="00616282">
        <w:rPr>
          <w:rFonts w:ascii="Calibri" w:hAnsi="Calibri" w:cs="Calibri"/>
          <w:lang w:val="en-GB"/>
        </w:rPr>
        <w:t xml:space="preserve"> and procedures used to monitor, </w:t>
      </w:r>
      <w:r w:rsidR="00DD4F7B" w:rsidRPr="00616282">
        <w:rPr>
          <w:rFonts w:ascii="Calibri" w:hAnsi="Calibri" w:cs="Calibri"/>
          <w:lang w:val="en-GB"/>
        </w:rPr>
        <w:t>manage,</w:t>
      </w:r>
      <w:r w:rsidR="00A468AC" w:rsidRPr="00616282">
        <w:rPr>
          <w:rFonts w:ascii="Calibri" w:hAnsi="Calibri" w:cs="Calibri"/>
          <w:lang w:val="en-GB"/>
        </w:rPr>
        <w:t xml:space="preserve"> and oversee climate-related risks and opportunities.</w:t>
      </w:r>
    </w:p>
    <w:p w14:paraId="0CDF2692" w14:textId="77777777" w:rsidR="002C09BB" w:rsidRPr="00616282" w:rsidRDefault="002C09BB" w:rsidP="005E68DE">
      <w:pPr>
        <w:jc w:val="both"/>
        <w:rPr>
          <w:rFonts w:ascii="Calibri" w:hAnsi="Calibri" w:cs="Calibri"/>
          <w:lang w:val="en-GB"/>
        </w:rPr>
      </w:pPr>
    </w:p>
    <w:p w14:paraId="2A6E5BB4" w14:textId="5A2BADBF" w:rsidR="00470F9D" w:rsidRPr="00616282" w:rsidRDefault="002C09BB" w:rsidP="005E68DE">
      <w:pPr>
        <w:jc w:val="both"/>
        <w:rPr>
          <w:rFonts w:ascii="Calibri" w:hAnsi="Calibri" w:cs="Calibri"/>
          <w:lang w:val="en-GB"/>
        </w:rPr>
      </w:pPr>
      <w:r w:rsidRPr="00616282">
        <w:rPr>
          <w:rFonts w:ascii="Calibri" w:hAnsi="Calibri" w:cs="Calibri"/>
          <w:lang w:val="en-GB"/>
        </w:rPr>
        <w:t>T</w:t>
      </w:r>
      <w:r w:rsidR="00DF219B" w:rsidRPr="00616282">
        <w:rPr>
          <w:rFonts w:ascii="Calibri" w:hAnsi="Calibri" w:cs="Calibri"/>
          <w:lang w:val="en-GB"/>
        </w:rPr>
        <w:t>he following table provides a summary of how best practices support the development of a governance framework under two main building blocks</w:t>
      </w:r>
      <w:r w:rsidR="00837715">
        <w:rPr>
          <w:rFonts w:ascii="Calibri" w:hAnsi="Calibri" w:cs="Calibri"/>
          <w:lang w:val="en-GB"/>
        </w:rPr>
        <w:t>: IFRS S2 and BCBS</w:t>
      </w:r>
      <w:r w:rsidR="00DF219B" w:rsidRPr="00616282">
        <w:rPr>
          <w:rFonts w:ascii="Calibri" w:hAnsi="Calibri" w:cs="Calibri"/>
          <w:lang w:val="en-GB"/>
        </w:rPr>
        <w:t>.</w:t>
      </w:r>
    </w:p>
    <w:p w14:paraId="30B1186F" w14:textId="55F67A5D" w:rsidR="004009CA" w:rsidRPr="00616282" w:rsidRDefault="004009CA" w:rsidP="0046333A">
      <w:pPr>
        <w:jc w:val="both"/>
        <w:rPr>
          <w:rFonts w:ascii="Calibri" w:hAnsi="Calibri" w:cs="Calibri"/>
          <w:b/>
          <w:i/>
          <w:iCs/>
          <w:color w:val="ED7D31" w:themeColor="accent2"/>
          <w:lang w:val="en-GB"/>
        </w:rPr>
      </w:pPr>
    </w:p>
    <w:p w14:paraId="16DCDB92" w14:textId="71563DA4" w:rsidR="00144D2D" w:rsidRPr="00616282" w:rsidRDefault="004009CA">
      <w:pPr>
        <w:rPr>
          <w:rFonts w:ascii="Calibri" w:hAnsi="Calibri" w:cs="Calibri"/>
          <w:b/>
          <w:bCs/>
          <w:color w:val="ED7D31" w:themeColor="accent2"/>
          <w:lang w:val="en-GB"/>
        </w:rPr>
      </w:pPr>
      <w:bookmarkStart w:id="39" w:name="_Toc171908201"/>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7</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Linking CBK, IFRS and BCBS expectations on governance</w:t>
      </w:r>
      <w:bookmarkEnd w:id="39"/>
    </w:p>
    <w:p w14:paraId="16F785A3" w14:textId="77777777" w:rsidR="00A74BD5" w:rsidRPr="00616282" w:rsidRDefault="00A74BD5" w:rsidP="00616282">
      <w:pPr>
        <w:rPr>
          <w:rFonts w:ascii="Calibri" w:hAnsi="Calibri" w:cs="Calibri"/>
          <w:b/>
          <w:bCs/>
          <w:color w:val="ED7D31" w:themeColor="accent2"/>
          <w:lang w:val="en-GB"/>
        </w:rPr>
      </w:pPr>
    </w:p>
    <w:tbl>
      <w:tblPr>
        <w:tblStyle w:val="TableGrid"/>
        <w:tblW w:w="901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975"/>
        <w:gridCol w:w="1890"/>
        <w:gridCol w:w="2430"/>
        <w:gridCol w:w="2721"/>
      </w:tblGrid>
      <w:tr w:rsidR="00D30E4D" w:rsidRPr="004725EE" w14:paraId="1EDE2797" w14:textId="77777777" w:rsidTr="00CB4FD6">
        <w:trPr>
          <w:tblHeader/>
        </w:trPr>
        <w:tc>
          <w:tcPr>
            <w:tcW w:w="1975" w:type="dxa"/>
            <w:shd w:val="clear" w:color="auto" w:fill="FBE4D5" w:themeFill="accent2" w:themeFillTint="33"/>
          </w:tcPr>
          <w:p w14:paraId="6778D1BD" w14:textId="37AA2756" w:rsidR="00D30E4D" w:rsidRPr="00616282" w:rsidRDefault="00D30E4D"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320" w:type="dxa"/>
            <w:gridSpan w:val="2"/>
            <w:shd w:val="clear" w:color="auto" w:fill="F2F2F2" w:themeFill="background1" w:themeFillShade="F2"/>
          </w:tcPr>
          <w:p w14:paraId="586B3F4A" w14:textId="0918DF35" w:rsidR="00D30E4D" w:rsidRPr="00616282" w:rsidRDefault="00D30E4D"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721" w:type="dxa"/>
            <w:shd w:val="clear" w:color="auto" w:fill="F2F2F2" w:themeFill="background1" w:themeFillShade="F2"/>
          </w:tcPr>
          <w:p w14:paraId="2567EC3A" w14:textId="70BA2718" w:rsidR="00D30E4D" w:rsidRPr="00616282" w:rsidRDefault="00D30E4D" w:rsidP="0046333A">
            <w:pPr>
              <w:jc w:val="center"/>
              <w:rPr>
                <w:rFonts w:ascii="Calibri" w:hAnsi="Calibri" w:cs="Calibri"/>
                <w:b/>
                <w:color w:val="4472C4" w:themeColor="accent1"/>
                <w:lang w:val="en-GB"/>
              </w:rPr>
            </w:pPr>
            <w:r w:rsidRPr="00616282">
              <w:rPr>
                <w:rFonts w:ascii="Calibri" w:hAnsi="Calibri" w:cs="Calibri"/>
                <w:b/>
                <w:color w:val="4472C4" w:themeColor="accent1"/>
                <w:lang w:val="en-GB"/>
              </w:rPr>
              <w:t>BCBS</w:t>
            </w:r>
          </w:p>
        </w:tc>
      </w:tr>
      <w:tr w:rsidR="004009CA" w:rsidRPr="004725EE" w14:paraId="519B77D2" w14:textId="77777777" w:rsidTr="00CB4FD6">
        <w:trPr>
          <w:tblHeader/>
        </w:trPr>
        <w:tc>
          <w:tcPr>
            <w:tcW w:w="1975" w:type="dxa"/>
            <w:shd w:val="clear" w:color="auto" w:fill="FBE4D5" w:themeFill="accent2" w:themeFillTint="33"/>
          </w:tcPr>
          <w:p w14:paraId="4BA1A060" w14:textId="15B3ED1B" w:rsidR="004009CA" w:rsidRPr="00616282" w:rsidRDefault="00D30E4D" w:rsidP="00D30E4D">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Governance</w:t>
            </w:r>
          </w:p>
        </w:tc>
        <w:tc>
          <w:tcPr>
            <w:tcW w:w="1890" w:type="dxa"/>
            <w:shd w:val="clear" w:color="auto" w:fill="F2F2F2" w:themeFill="background1" w:themeFillShade="F2"/>
          </w:tcPr>
          <w:p w14:paraId="12925885" w14:textId="77777777" w:rsidR="004009CA" w:rsidRPr="00616282" w:rsidRDefault="004009CA"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430" w:type="dxa"/>
            <w:shd w:val="clear" w:color="auto" w:fill="F2F2F2" w:themeFill="background1" w:themeFillShade="F2"/>
          </w:tcPr>
          <w:p w14:paraId="135AB166" w14:textId="77777777" w:rsidR="004009CA" w:rsidRPr="00616282" w:rsidRDefault="004009CA"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721" w:type="dxa"/>
            <w:shd w:val="clear" w:color="auto" w:fill="F2F2F2" w:themeFill="background1" w:themeFillShade="F2"/>
          </w:tcPr>
          <w:p w14:paraId="195449AF" w14:textId="329BD6A3" w:rsidR="004009CA" w:rsidRPr="00616282" w:rsidRDefault="004009CA" w:rsidP="00FB0DA0">
            <w:pPr>
              <w:jc w:val="center"/>
              <w:rPr>
                <w:rFonts w:ascii="Calibri" w:hAnsi="Calibri" w:cs="Calibri"/>
                <w:color w:val="4472C4" w:themeColor="accent1"/>
                <w:lang w:val="en-GB"/>
              </w:rPr>
            </w:pPr>
            <w:r w:rsidRPr="00616282">
              <w:rPr>
                <w:rFonts w:ascii="Calibri" w:hAnsi="Calibri" w:cs="Calibri"/>
                <w:b/>
                <w:color w:val="4472C4" w:themeColor="accent1"/>
                <w:lang w:val="en-GB"/>
              </w:rPr>
              <w:t>Principle</w:t>
            </w:r>
            <w:r w:rsidR="00D30E4D" w:rsidRPr="00616282">
              <w:rPr>
                <w:rFonts w:ascii="Calibri" w:hAnsi="Calibri" w:cs="Calibri"/>
                <w:b/>
                <w:color w:val="4472C4" w:themeColor="accent1"/>
                <w:lang w:val="en-GB"/>
              </w:rPr>
              <w:t>s</w:t>
            </w:r>
          </w:p>
        </w:tc>
      </w:tr>
      <w:tr w:rsidR="00AC2E96" w:rsidRPr="004725EE" w14:paraId="33198E8D" w14:textId="77777777" w:rsidTr="0090701E">
        <w:trPr>
          <w:trHeight w:val="2691"/>
        </w:trPr>
        <w:tc>
          <w:tcPr>
            <w:tcW w:w="1975" w:type="dxa"/>
            <w:vMerge w:val="restart"/>
            <w:shd w:val="clear" w:color="auto" w:fill="FBE4D5" w:themeFill="accent2" w:themeFillTint="33"/>
          </w:tcPr>
          <w:p w14:paraId="2F69C9A1" w14:textId="1F85FD0A" w:rsidR="00AC2E96" w:rsidRPr="00616282" w:rsidRDefault="00AC2E96" w:rsidP="00773AE9">
            <w:pPr>
              <w:rPr>
                <w:rFonts w:ascii="Calibri" w:hAnsi="Calibri" w:cs="Calibri"/>
                <w:b/>
                <w:bCs/>
                <w:color w:val="4472C4" w:themeColor="accent1"/>
                <w:lang w:val="en-GB"/>
              </w:rPr>
            </w:pPr>
          </w:p>
          <w:p w14:paraId="3EA2307D" w14:textId="22D17C10" w:rsidR="00AC2E96" w:rsidRPr="00616282" w:rsidRDefault="00AC2E96" w:rsidP="00773AE9">
            <w:pPr>
              <w:rPr>
                <w:rFonts w:ascii="Calibri" w:hAnsi="Calibri" w:cs="Calibri"/>
                <w:b/>
                <w:bCs/>
                <w:i/>
                <w:iCs/>
                <w:color w:val="4472C4" w:themeColor="accent1"/>
                <w:lang w:val="en-GB"/>
              </w:rPr>
            </w:pPr>
            <w:r w:rsidRPr="00616282">
              <w:rPr>
                <w:rFonts w:ascii="Calibri" w:hAnsi="Calibri" w:cs="Calibri"/>
                <w:b/>
                <w:bCs/>
                <w:i/>
                <w:iCs/>
                <w:color w:val="4472C4" w:themeColor="accent1"/>
                <w:lang w:val="en-GB"/>
              </w:rPr>
              <w:t>3.1 Responsibilities of the board and senior management</w:t>
            </w:r>
          </w:p>
          <w:p w14:paraId="22B55E7E" w14:textId="77777777" w:rsidR="00AC2E96" w:rsidRPr="00616282" w:rsidRDefault="00AC2E96" w:rsidP="00773AE9">
            <w:pPr>
              <w:rPr>
                <w:rFonts w:ascii="Calibri" w:hAnsi="Calibri" w:cs="Calibri"/>
                <w:b/>
                <w:bCs/>
                <w:i/>
                <w:iCs/>
                <w:color w:val="4472C4" w:themeColor="accent1"/>
                <w:lang w:val="en-GB"/>
              </w:rPr>
            </w:pPr>
          </w:p>
          <w:p w14:paraId="3CAB1A52" w14:textId="116BDD06" w:rsidR="00AC2E96" w:rsidRPr="00616282" w:rsidRDefault="00AC2E96" w:rsidP="00773AE9">
            <w:pPr>
              <w:rPr>
                <w:rFonts w:ascii="Calibri" w:hAnsi="Calibri" w:cs="Calibri"/>
                <w:b/>
                <w:bCs/>
                <w:i/>
                <w:iCs/>
                <w:color w:val="4472C4" w:themeColor="accent1"/>
                <w:lang w:val="en-GB"/>
              </w:rPr>
            </w:pPr>
            <w:r w:rsidRPr="00616282">
              <w:rPr>
                <w:rFonts w:ascii="Calibri" w:hAnsi="Calibri" w:cs="Calibri"/>
                <w:b/>
                <w:bCs/>
                <w:i/>
                <w:iCs/>
                <w:color w:val="4472C4" w:themeColor="accent1"/>
                <w:lang w:val="en-GB"/>
              </w:rPr>
              <w:t>3.2 Oversight</w:t>
            </w:r>
          </w:p>
          <w:p w14:paraId="5450846F" w14:textId="0CC5A09A" w:rsidR="00AC2E96" w:rsidRPr="00616282" w:rsidRDefault="00AC2E96" w:rsidP="00773AE9">
            <w:pPr>
              <w:rPr>
                <w:rFonts w:ascii="Calibri" w:hAnsi="Calibri" w:cs="Calibri"/>
                <w:b/>
                <w:bCs/>
                <w:color w:val="003299"/>
                <w:lang w:val="en-GB"/>
              </w:rPr>
            </w:pPr>
          </w:p>
        </w:tc>
        <w:tc>
          <w:tcPr>
            <w:tcW w:w="1890" w:type="dxa"/>
          </w:tcPr>
          <w:p w14:paraId="456A9F65" w14:textId="77777777" w:rsidR="00AC2E96" w:rsidRPr="00616282" w:rsidRDefault="00AC2E96" w:rsidP="00773AE9">
            <w:pPr>
              <w:rPr>
                <w:rFonts w:ascii="Calibri" w:hAnsi="Calibri" w:cs="Calibri"/>
                <w:color w:val="003299"/>
                <w:lang w:val="en-GB"/>
              </w:rPr>
            </w:pPr>
            <w:r w:rsidRPr="00616282">
              <w:rPr>
                <w:rFonts w:ascii="Calibri" w:hAnsi="Calibri" w:cs="Calibri"/>
                <w:b/>
                <w:bCs/>
                <w:color w:val="4472C4" w:themeColor="accent1"/>
                <w:lang w:val="en-GB"/>
              </w:rPr>
              <w:t>Governance body</w:t>
            </w:r>
          </w:p>
          <w:p w14:paraId="2FF58BAA" w14:textId="72492998" w:rsidR="00AC2E96" w:rsidRPr="00616282" w:rsidRDefault="00AC2E96" w:rsidP="00773AE9">
            <w:pPr>
              <w:rPr>
                <w:rFonts w:ascii="Calibri" w:hAnsi="Calibri" w:cs="Calibri"/>
                <w:color w:val="003299"/>
                <w:lang w:val="en-GB"/>
              </w:rPr>
            </w:pPr>
          </w:p>
        </w:tc>
        <w:tc>
          <w:tcPr>
            <w:tcW w:w="2430" w:type="dxa"/>
          </w:tcPr>
          <w:p w14:paraId="1F7E31E5" w14:textId="1851DDEF" w:rsidR="00AC2E96" w:rsidRPr="00616282" w:rsidRDefault="00AC2E96" w:rsidP="00773AE9">
            <w:pPr>
              <w:rPr>
                <w:rFonts w:ascii="Calibri" w:hAnsi="Calibri" w:cs="Calibri"/>
                <w:lang w:val="en-GB"/>
              </w:rPr>
            </w:pPr>
            <w:r w:rsidRPr="00616282">
              <w:rPr>
                <w:rFonts w:ascii="Calibri" w:hAnsi="Calibri" w:cs="Calibri"/>
                <w:lang w:val="en-GB"/>
              </w:rPr>
              <w:t xml:space="preserve">Board, </w:t>
            </w:r>
            <w:r w:rsidR="00DD4F7B" w:rsidRPr="00616282">
              <w:rPr>
                <w:rFonts w:ascii="Calibri" w:hAnsi="Calibri" w:cs="Calibri"/>
                <w:lang w:val="en-GB"/>
              </w:rPr>
              <w:t>committee,</w:t>
            </w:r>
            <w:r w:rsidRPr="00616282">
              <w:rPr>
                <w:rFonts w:ascii="Calibri" w:hAnsi="Calibri" w:cs="Calibri"/>
                <w:lang w:val="en-GB"/>
              </w:rPr>
              <w:t xml:space="preserve"> or equivalent body charged with governance or individual(s) responsible for oversight of climate-related risks and opportunities. </w:t>
            </w:r>
          </w:p>
          <w:p w14:paraId="79FBBD77" w14:textId="77777777" w:rsidR="00AC2E96" w:rsidRPr="00616282" w:rsidRDefault="00AC2E96" w:rsidP="00773AE9">
            <w:pPr>
              <w:rPr>
                <w:rFonts w:ascii="Calibri" w:hAnsi="Calibri" w:cs="Calibri"/>
                <w:lang w:val="en-GB"/>
              </w:rPr>
            </w:pPr>
          </w:p>
        </w:tc>
        <w:tc>
          <w:tcPr>
            <w:tcW w:w="2721" w:type="dxa"/>
          </w:tcPr>
          <w:p w14:paraId="12AA8769" w14:textId="0EC22D4A" w:rsidR="00AC2E96" w:rsidRPr="00CB4FD6" w:rsidRDefault="00AC2E96" w:rsidP="00CB4FD6">
            <w:pPr>
              <w:rPr>
                <w:rFonts w:ascii="Calibri" w:hAnsi="Calibri" w:cs="Calibri"/>
                <w:lang w:val="en-GB"/>
              </w:rPr>
            </w:pPr>
            <w:r w:rsidRPr="00CB4FD6">
              <w:rPr>
                <w:rFonts w:ascii="Calibri" w:hAnsi="Calibri" w:cs="Calibri"/>
                <w:b/>
                <w:bCs/>
                <w:lang w:val="en-GB"/>
              </w:rPr>
              <w:t>Principle 2:</w:t>
            </w:r>
            <w:r w:rsidRPr="00CB4FD6">
              <w:rPr>
                <w:rFonts w:ascii="Calibri" w:hAnsi="Calibri" w:cs="Calibri"/>
                <w:lang w:val="en-GB"/>
              </w:rPr>
              <w:t xml:space="preserve"> The board and senior management should clearly assign climate-related responsibilities to members and/or committees and exercise effective oversight of climate-related financial risks. Further, the board and senior management should identify responsibilities for climate-related risk management throughout the organisational structure.</w:t>
            </w:r>
          </w:p>
        </w:tc>
      </w:tr>
      <w:tr w:rsidR="00AC2E96" w:rsidRPr="004725EE" w14:paraId="44E545BC" w14:textId="77777777" w:rsidTr="0090701E">
        <w:tc>
          <w:tcPr>
            <w:tcW w:w="1975" w:type="dxa"/>
            <w:vMerge/>
            <w:shd w:val="clear" w:color="auto" w:fill="FBE4D5" w:themeFill="accent2" w:themeFillTint="33"/>
          </w:tcPr>
          <w:p w14:paraId="13A53127" w14:textId="77777777" w:rsidR="00AC2E96" w:rsidRPr="00616282" w:rsidDel="00D30E4D" w:rsidRDefault="00AC2E96" w:rsidP="00773AE9">
            <w:pPr>
              <w:rPr>
                <w:rFonts w:ascii="Calibri" w:hAnsi="Calibri" w:cs="Calibri"/>
                <w:b/>
                <w:bCs/>
                <w:color w:val="4472C4" w:themeColor="accent1"/>
                <w:lang w:val="en-GB"/>
              </w:rPr>
            </w:pPr>
          </w:p>
        </w:tc>
        <w:tc>
          <w:tcPr>
            <w:tcW w:w="1890" w:type="dxa"/>
            <w:vMerge w:val="restart"/>
          </w:tcPr>
          <w:p w14:paraId="435B611C" w14:textId="2C3DE52E" w:rsidR="00AC2E96" w:rsidRPr="00616282" w:rsidRDefault="00AC2E96"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Management’s role</w:t>
            </w:r>
          </w:p>
        </w:tc>
        <w:tc>
          <w:tcPr>
            <w:tcW w:w="2430" w:type="dxa"/>
            <w:vMerge w:val="restart"/>
          </w:tcPr>
          <w:p w14:paraId="5D8DD506" w14:textId="77777777" w:rsidR="00AC2E96" w:rsidRPr="00616282" w:rsidRDefault="00AC2E96" w:rsidP="00773AE9">
            <w:pPr>
              <w:rPr>
                <w:rFonts w:ascii="Calibri" w:hAnsi="Calibri" w:cs="Calibri"/>
                <w:lang w:val="en-GB"/>
              </w:rPr>
            </w:pPr>
            <w:r w:rsidRPr="00616282">
              <w:rPr>
                <w:rFonts w:ascii="Calibri" w:hAnsi="Calibri" w:cs="Calibri"/>
                <w:lang w:val="en-GB"/>
              </w:rPr>
              <w:t xml:space="preserve">Definition and oversight of the </w:t>
            </w:r>
            <w:r w:rsidRPr="00616282">
              <w:rPr>
                <w:rFonts w:ascii="Calibri" w:hAnsi="Calibri" w:cs="Calibri"/>
                <w:lang w:val="en-GB"/>
              </w:rPr>
              <w:lastRenderedPageBreak/>
              <w:t>delegated management-level position or committee responsible for climate risk considerations.</w:t>
            </w:r>
          </w:p>
          <w:p w14:paraId="253233AE" w14:textId="77777777" w:rsidR="00AC2E96" w:rsidRPr="00616282" w:rsidRDefault="00AC2E96" w:rsidP="00773AE9">
            <w:pPr>
              <w:rPr>
                <w:rFonts w:ascii="Calibri" w:hAnsi="Calibri" w:cs="Calibri"/>
                <w:lang w:val="en-GB"/>
              </w:rPr>
            </w:pPr>
          </w:p>
          <w:p w14:paraId="11F54E4A" w14:textId="77777777" w:rsidR="00AC2E96" w:rsidRPr="00616282" w:rsidRDefault="00AC2E96" w:rsidP="00773AE9">
            <w:pPr>
              <w:rPr>
                <w:rFonts w:ascii="Calibri" w:hAnsi="Calibri" w:cs="Calibri"/>
                <w:lang w:val="en-GB"/>
              </w:rPr>
            </w:pPr>
            <w:r w:rsidRPr="00616282">
              <w:rPr>
                <w:rFonts w:ascii="Calibri" w:hAnsi="Calibri" w:cs="Calibri"/>
                <w:lang w:val="en-GB"/>
              </w:rPr>
              <w:t>Integration of controls and procedures to support the oversight of climate-related risks and opportunities, and its integration with other internal functions.</w:t>
            </w:r>
          </w:p>
          <w:p w14:paraId="23A95500" w14:textId="77777777" w:rsidR="00AC2E96" w:rsidRPr="00616282" w:rsidRDefault="00AC2E96" w:rsidP="00773AE9">
            <w:pPr>
              <w:rPr>
                <w:rFonts w:ascii="Calibri" w:hAnsi="Calibri" w:cs="Calibri"/>
                <w:lang w:val="en-GB"/>
              </w:rPr>
            </w:pPr>
          </w:p>
        </w:tc>
        <w:tc>
          <w:tcPr>
            <w:tcW w:w="2721" w:type="dxa"/>
          </w:tcPr>
          <w:p w14:paraId="322EB512" w14:textId="32E81D85" w:rsidR="00AC2E96" w:rsidRPr="00616282" w:rsidDel="00162533" w:rsidRDefault="00AC2E96" w:rsidP="00773AE9">
            <w:pPr>
              <w:pStyle w:val="NormalWeb"/>
              <w:rPr>
                <w:rFonts w:ascii="Calibri" w:hAnsi="Calibri" w:cs="Calibri"/>
                <w:lang w:val="en-GB"/>
              </w:rPr>
            </w:pPr>
            <w:r w:rsidRPr="00616282">
              <w:rPr>
                <w:rFonts w:ascii="Calibri" w:hAnsi="Calibri" w:cs="Calibri"/>
                <w:b/>
                <w:bCs/>
                <w:lang w:val="en-GB"/>
              </w:rPr>
              <w:lastRenderedPageBreak/>
              <w:t>Principle 3:</w:t>
            </w:r>
            <w:r w:rsidRPr="00616282">
              <w:rPr>
                <w:rFonts w:ascii="Calibri" w:hAnsi="Calibri" w:cs="Calibri"/>
                <w:lang w:val="en-GB"/>
              </w:rPr>
              <w:t xml:space="preserve"> Banks should adopt appropriate </w:t>
            </w:r>
            <w:r w:rsidRPr="00616282">
              <w:rPr>
                <w:rFonts w:ascii="Calibri" w:hAnsi="Calibri" w:cs="Calibri"/>
                <w:lang w:val="en-GB"/>
              </w:rPr>
              <w:lastRenderedPageBreak/>
              <w:t>policies, procedures and controls that are implemented across the entire organisation to ensure effective management of climate-related financial risks.</w:t>
            </w:r>
          </w:p>
        </w:tc>
      </w:tr>
      <w:tr w:rsidR="00AC2E96" w:rsidRPr="004725EE" w14:paraId="05CB139C" w14:textId="77777777" w:rsidTr="0090701E">
        <w:tc>
          <w:tcPr>
            <w:tcW w:w="1975" w:type="dxa"/>
            <w:vMerge/>
            <w:shd w:val="clear" w:color="auto" w:fill="FBE4D5" w:themeFill="accent2" w:themeFillTint="33"/>
          </w:tcPr>
          <w:p w14:paraId="2C3FB70D" w14:textId="77777777" w:rsidR="00AC2E96" w:rsidRPr="00616282" w:rsidRDefault="00AC2E96" w:rsidP="00773AE9">
            <w:pPr>
              <w:rPr>
                <w:rFonts w:ascii="Calibri" w:hAnsi="Calibri" w:cs="Calibri"/>
                <w:b/>
                <w:bCs/>
                <w:color w:val="003299"/>
                <w:lang w:val="en-GB"/>
              </w:rPr>
            </w:pPr>
          </w:p>
        </w:tc>
        <w:tc>
          <w:tcPr>
            <w:tcW w:w="1890" w:type="dxa"/>
            <w:vMerge/>
          </w:tcPr>
          <w:p w14:paraId="235E3C8D" w14:textId="77777777" w:rsidR="00AC2E96" w:rsidRPr="00616282" w:rsidRDefault="00AC2E96" w:rsidP="00773AE9">
            <w:pPr>
              <w:rPr>
                <w:rFonts w:ascii="Calibri" w:hAnsi="Calibri" w:cs="Calibri"/>
                <w:b/>
                <w:bCs/>
                <w:color w:val="4472C4" w:themeColor="accent1"/>
                <w:lang w:val="en-GB"/>
              </w:rPr>
            </w:pPr>
          </w:p>
        </w:tc>
        <w:tc>
          <w:tcPr>
            <w:tcW w:w="2430" w:type="dxa"/>
            <w:vMerge/>
          </w:tcPr>
          <w:p w14:paraId="7145A3FE" w14:textId="77777777" w:rsidR="00AC2E96" w:rsidRPr="00616282" w:rsidRDefault="00AC2E96" w:rsidP="00773AE9">
            <w:pPr>
              <w:rPr>
                <w:rFonts w:ascii="Calibri" w:hAnsi="Calibri" w:cs="Calibri"/>
                <w:lang w:val="en-GB"/>
              </w:rPr>
            </w:pPr>
          </w:p>
        </w:tc>
        <w:tc>
          <w:tcPr>
            <w:tcW w:w="2721" w:type="dxa"/>
          </w:tcPr>
          <w:p w14:paraId="17B13F03" w14:textId="17BBDDB6" w:rsidR="00AC2E96" w:rsidRPr="00616282" w:rsidRDefault="00AC2E96" w:rsidP="00773AE9">
            <w:pPr>
              <w:pStyle w:val="NormalWeb"/>
              <w:rPr>
                <w:rFonts w:ascii="Calibri" w:hAnsi="Calibri" w:cs="Calibri"/>
                <w:lang w:val="en-GB"/>
              </w:rPr>
            </w:pPr>
            <w:r w:rsidRPr="00616282">
              <w:rPr>
                <w:rFonts w:ascii="Calibri" w:hAnsi="Calibri" w:cs="Calibri"/>
                <w:b/>
                <w:bCs/>
                <w:lang w:val="en-GB"/>
              </w:rPr>
              <w:t>Principle 4:</w:t>
            </w:r>
            <w:r w:rsidRPr="00616282">
              <w:rPr>
                <w:rFonts w:ascii="Calibri" w:hAnsi="Calibri" w:cs="Calibri"/>
                <w:lang w:val="en-GB"/>
              </w:rPr>
              <w:t xml:space="preserve"> Banks should incorporate climate-related financial risks into their internal control frameworks across the three lines of defence to ensure sound, comprehensive and effective identification, </w:t>
            </w:r>
            <w:r w:rsidR="00DD4F7B" w:rsidRPr="00616282">
              <w:rPr>
                <w:rFonts w:ascii="Calibri" w:hAnsi="Calibri" w:cs="Calibri"/>
                <w:lang w:val="en-GB"/>
              </w:rPr>
              <w:t>measurement,</w:t>
            </w:r>
            <w:r w:rsidRPr="00616282">
              <w:rPr>
                <w:rFonts w:ascii="Calibri" w:hAnsi="Calibri" w:cs="Calibri"/>
                <w:lang w:val="en-GB"/>
              </w:rPr>
              <w:t xml:space="preserve"> and mitigation of material climate-related financial risks. </w:t>
            </w:r>
          </w:p>
        </w:tc>
      </w:tr>
    </w:tbl>
    <w:p w14:paraId="2D82D7D7" w14:textId="77777777" w:rsidR="000E66F2" w:rsidRPr="00616282" w:rsidRDefault="000E66F2" w:rsidP="00FB0DA0">
      <w:pPr>
        <w:outlineLvl w:val="0"/>
        <w:rPr>
          <w:rFonts w:ascii="Calibri" w:hAnsi="Calibri" w:cs="Calibri"/>
          <w:b/>
          <w:bCs/>
          <w:color w:val="ED7D31" w:themeColor="accent2"/>
          <w:lang w:val="en-GB"/>
        </w:rPr>
      </w:pPr>
    </w:p>
    <w:p w14:paraId="1B5B6D20" w14:textId="73F570C3" w:rsidR="00E87C8D" w:rsidRPr="0090701E" w:rsidRDefault="008244BE" w:rsidP="00616282">
      <w:pPr>
        <w:pStyle w:val="Heading3"/>
        <w:rPr>
          <w:rFonts w:ascii="Calibri" w:hAnsi="Calibri" w:cs="Calibri"/>
          <w:sz w:val="24"/>
          <w:szCs w:val="28"/>
        </w:rPr>
      </w:pPr>
      <w:bookmarkStart w:id="40" w:name="_Toc167079293"/>
      <w:bookmarkStart w:id="41" w:name="_Toc167079483"/>
      <w:bookmarkStart w:id="42" w:name="_Toc171908184"/>
      <w:r w:rsidRPr="0090701E">
        <w:rPr>
          <w:rFonts w:ascii="Calibri" w:hAnsi="Calibri" w:cs="Calibri"/>
          <w:sz w:val="24"/>
          <w:szCs w:val="28"/>
        </w:rPr>
        <w:t xml:space="preserve">Best practice </w:t>
      </w:r>
      <w:r w:rsidR="00E87C8D" w:rsidRPr="0090701E">
        <w:rPr>
          <w:rFonts w:ascii="Calibri" w:hAnsi="Calibri" w:cs="Calibri"/>
          <w:sz w:val="24"/>
          <w:szCs w:val="28"/>
        </w:rPr>
        <w:t>on governance</w:t>
      </w:r>
      <w:bookmarkEnd w:id="40"/>
      <w:bookmarkEnd w:id="41"/>
      <w:bookmarkEnd w:id="42"/>
    </w:p>
    <w:p w14:paraId="03279DCF" w14:textId="77777777" w:rsidR="00E87C8D" w:rsidRPr="00616282" w:rsidRDefault="00E87C8D" w:rsidP="00464033">
      <w:pPr>
        <w:jc w:val="both"/>
        <w:rPr>
          <w:rFonts w:ascii="Calibri" w:hAnsi="Calibri" w:cs="Calibri"/>
          <w:b/>
          <w:color w:val="ED7D31" w:themeColor="accent2"/>
          <w:lang w:val="en-GB"/>
        </w:rPr>
      </w:pPr>
    </w:p>
    <w:p w14:paraId="72ED7E2A" w14:textId="0B37CD05" w:rsidR="00A60FB1" w:rsidRPr="00616282" w:rsidRDefault="00A60FB1" w:rsidP="00464033">
      <w:pPr>
        <w:jc w:val="both"/>
        <w:rPr>
          <w:rFonts w:ascii="Calibri" w:hAnsi="Calibri" w:cs="Calibri"/>
          <w:lang w:val="en-GB"/>
        </w:rPr>
      </w:pPr>
      <w:r w:rsidRPr="00616282">
        <w:rPr>
          <w:rFonts w:ascii="Calibri" w:hAnsi="Calibri" w:cs="Calibri"/>
          <w:lang w:val="en-GB"/>
        </w:rPr>
        <w:t xml:space="preserve">At the Board level, there are primarily four configurations commonly utilized. </w:t>
      </w:r>
    </w:p>
    <w:p w14:paraId="2E81492F" w14:textId="77777777" w:rsidR="00A60FB1" w:rsidRPr="00616282" w:rsidRDefault="00A60FB1" w:rsidP="00464033">
      <w:pPr>
        <w:jc w:val="both"/>
        <w:rPr>
          <w:rFonts w:ascii="Calibri" w:hAnsi="Calibri" w:cs="Calibri"/>
          <w:lang w:val="en-GB"/>
        </w:rPr>
      </w:pPr>
    </w:p>
    <w:p w14:paraId="4F16F0CE" w14:textId="3DB7E4C1" w:rsidR="00A60FB1" w:rsidRPr="00616282" w:rsidRDefault="00A60FB1" w:rsidP="00616282">
      <w:pPr>
        <w:rPr>
          <w:rFonts w:ascii="Calibri" w:hAnsi="Calibri" w:cs="Calibri"/>
          <w:b/>
          <w:bCs/>
          <w:color w:val="ED7D31" w:themeColor="accent2"/>
          <w:lang w:val="en-GB"/>
        </w:rPr>
      </w:pPr>
      <w:bookmarkStart w:id="43" w:name="_Toc167079294"/>
      <w:bookmarkStart w:id="44" w:name="_Toc167079484"/>
      <w:bookmarkStart w:id="45" w:name="_Toc175223818"/>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Board configurations to integrate </w:t>
      </w:r>
      <w:r w:rsidR="0008057D">
        <w:rPr>
          <w:rFonts w:ascii="Calibri" w:hAnsi="Calibri" w:cs="Calibri"/>
          <w:b/>
          <w:bCs/>
          <w:color w:val="ED7D31" w:themeColor="accent2"/>
          <w:lang w:val="en-GB"/>
        </w:rPr>
        <w:t>climate-related</w:t>
      </w:r>
      <w:r w:rsidRPr="00616282">
        <w:rPr>
          <w:rFonts w:ascii="Calibri" w:hAnsi="Calibri" w:cs="Calibri"/>
          <w:b/>
          <w:bCs/>
          <w:color w:val="ED7D31" w:themeColor="accent2"/>
          <w:lang w:val="en-GB"/>
        </w:rPr>
        <w:t xml:space="preserve"> issues in decision making for banks</w:t>
      </w:r>
      <w:bookmarkEnd w:id="43"/>
      <w:bookmarkEnd w:id="44"/>
      <w:bookmarkEnd w:id="45"/>
    </w:p>
    <w:p w14:paraId="5FB21432" w14:textId="693252F7" w:rsidR="00A60FB1" w:rsidRPr="00616282" w:rsidRDefault="00D77195" w:rsidP="00CB4FD6">
      <w:pPr>
        <w:jc w:val="center"/>
        <w:rPr>
          <w:rFonts w:ascii="Calibri" w:hAnsi="Calibri" w:cs="Calibri"/>
          <w:lang w:val="en-GB"/>
        </w:rPr>
      </w:pPr>
      <w:r w:rsidRPr="00616282">
        <w:rPr>
          <w:rFonts w:ascii="Calibri" w:hAnsi="Calibri" w:cs="Calibri"/>
          <w:noProof/>
        </w:rPr>
        <w:drawing>
          <wp:inline distT="0" distB="0" distL="0" distR="0" wp14:anchorId="367EA115" wp14:editId="64CF5E3F">
            <wp:extent cx="5006405" cy="1310674"/>
            <wp:effectExtent l="0" t="0" r="0" b="0"/>
            <wp:docPr id="2098728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28236" name=""/>
                    <pic:cNvPicPr/>
                  </pic:nvPicPr>
                  <pic:blipFill>
                    <a:blip r:embed="rId20"/>
                    <a:stretch>
                      <a:fillRect/>
                    </a:stretch>
                  </pic:blipFill>
                  <pic:spPr>
                    <a:xfrm>
                      <a:off x="0" y="0"/>
                      <a:ext cx="5039515" cy="1319342"/>
                    </a:xfrm>
                    <a:prstGeom prst="rect">
                      <a:avLst/>
                    </a:prstGeom>
                  </pic:spPr>
                </pic:pic>
              </a:graphicData>
            </a:graphic>
          </wp:inline>
        </w:drawing>
      </w:r>
    </w:p>
    <w:p w14:paraId="28E0C30F" w14:textId="77777777" w:rsidR="00A60FB1" w:rsidRPr="00616282" w:rsidRDefault="00A60FB1" w:rsidP="00464033">
      <w:pPr>
        <w:jc w:val="both"/>
        <w:rPr>
          <w:rFonts w:ascii="Calibri" w:hAnsi="Calibri" w:cs="Calibri"/>
          <w:lang w:val="en-GB"/>
        </w:rPr>
      </w:pPr>
    </w:p>
    <w:p w14:paraId="3885E382" w14:textId="29FC0283" w:rsidR="00A60FB1" w:rsidRPr="00616282" w:rsidRDefault="001F4186" w:rsidP="00464033">
      <w:pPr>
        <w:jc w:val="both"/>
        <w:rPr>
          <w:rFonts w:ascii="Calibri" w:hAnsi="Calibri" w:cs="Calibri"/>
          <w:b/>
          <w:color w:val="ED7D31" w:themeColor="accent2"/>
          <w:lang w:val="en-GB"/>
        </w:rPr>
      </w:pPr>
      <w:r w:rsidRPr="00616282">
        <w:rPr>
          <w:rFonts w:ascii="Calibri" w:hAnsi="Calibri" w:cs="Calibri"/>
          <w:lang w:val="en-GB"/>
        </w:rPr>
        <w:t>Further guidance is provided below on common approaches by both the Board and management in</w:t>
      </w:r>
      <w:r w:rsidR="00DF219B" w:rsidRPr="00616282">
        <w:rPr>
          <w:rFonts w:ascii="Calibri" w:hAnsi="Calibri" w:cs="Calibri"/>
          <w:lang w:val="en-GB"/>
        </w:rPr>
        <w:t xml:space="preserve"> embedding </w:t>
      </w:r>
      <w:r w:rsidRPr="00616282">
        <w:rPr>
          <w:rFonts w:ascii="Calibri" w:hAnsi="Calibri" w:cs="Calibri"/>
          <w:lang w:val="en-GB"/>
        </w:rPr>
        <w:t>climate-related issues</w:t>
      </w:r>
      <w:r w:rsidR="00DF219B" w:rsidRPr="00616282">
        <w:rPr>
          <w:rFonts w:ascii="Calibri" w:hAnsi="Calibri" w:cs="Calibri"/>
          <w:lang w:val="en-GB"/>
        </w:rPr>
        <w:t xml:space="preserve"> into their work agenda, </w:t>
      </w:r>
      <w:r w:rsidR="00773AE9">
        <w:rPr>
          <w:rFonts w:ascii="Calibri" w:hAnsi="Calibri" w:cs="Calibri"/>
          <w:lang w:val="en-GB"/>
        </w:rPr>
        <w:t>along</w:t>
      </w:r>
      <w:r w:rsidR="00773AE9" w:rsidRPr="00616282">
        <w:rPr>
          <w:rFonts w:ascii="Calibri" w:hAnsi="Calibri" w:cs="Calibri"/>
          <w:lang w:val="en-GB"/>
        </w:rPr>
        <w:t xml:space="preserve"> </w:t>
      </w:r>
      <w:r w:rsidR="00DF219B" w:rsidRPr="00616282">
        <w:rPr>
          <w:rFonts w:ascii="Calibri" w:hAnsi="Calibri" w:cs="Calibri"/>
          <w:lang w:val="en-GB"/>
        </w:rPr>
        <w:t xml:space="preserve">with the allocation and definition of resources </w:t>
      </w:r>
      <w:r w:rsidR="00773AE9">
        <w:rPr>
          <w:rFonts w:ascii="Calibri" w:hAnsi="Calibri" w:cs="Calibri"/>
          <w:lang w:val="en-GB"/>
        </w:rPr>
        <w:t>and</w:t>
      </w:r>
      <w:r w:rsidR="00773AE9" w:rsidRPr="00616282">
        <w:rPr>
          <w:rFonts w:ascii="Calibri" w:hAnsi="Calibri" w:cs="Calibri"/>
          <w:lang w:val="en-GB"/>
        </w:rPr>
        <w:t xml:space="preserve"> </w:t>
      </w:r>
      <w:r w:rsidR="00DF219B" w:rsidRPr="00616282">
        <w:rPr>
          <w:rFonts w:ascii="Calibri" w:hAnsi="Calibri" w:cs="Calibri"/>
          <w:lang w:val="en-GB"/>
        </w:rPr>
        <w:t>processes for climate risk management.</w:t>
      </w:r>
      <w:r w:rsidR="00DF219B" w:rsidRPr="00616282">
        <w:rPr>
          <w:rFonts w:ascii="Calibri" w:hAnsi="Calibri" w:cs="Calibri"/>
          <w:b/>
          <w:color w:val="ED7D31" w:themeColor="accent2"/>
          <w:lang w:val="en-GB"/>
        </w:rPr>
        <w:t xml:space="preserve"> </w:t>
      </w:r>
    </w:p>
    <w:p w14:paraId="5A6C6A4A" w14:textId="77777777" w:rsidR="00DF6060" w:rsidRPr="00616282" w:rsidRDefault="00DF6060" w:rsidP="00464033">
      <w:pPr>
        <w:jc w:val="both"/>
        <w:rPr>
          <w:rFonts w:ascii="Calibri" w:hAnsi="Calibri" w:cs="Calibri"/>
          <w:b/>
          <w:color w:val="ED7D31" w:themeColor="accent2"/>
          <w:lang w:val="en-GB"/>
        </w:rPr>
      </w:pPr>
    </w:p>
    <w:p w14:paraId="478B300D" w14:textId="77777777" w:rsidR="00157082" w:rsidRDefault="00157082">
      <w:pPr>
        <w:rPr>
          <w:rFonts w:ascii="Calibri" w:hAnsi="Calibri" w:cs="Calibri"/>
          <w:b/>
          <w:bCs/>
          <w:color w:val="ED7D31" w:themeColor="accent2"/>
          <w:lang w:val="en-GB"/>
        </w:rPr>
      </w:pPr>
      <w:bookmarkStart w:id="46" w:name="_Toc171908202"/>
      <w:r>
        <w:rPr>
          <w:rFonts w:ascii="Calibri" w:hAnsi="Calibri" w:cs="Calibri"/>
          <w:b/>
          <w:bCs/>
          <w:color w:val="ED7D31" w:themeColor="accent2"/>
          <w:lang w:val="en-GB"/>
        </w:rPr>
        <w:br w:type="page"/>
      </w:r>
    </w:p>
    <w:p w14:paraId="0C9E2893" w14:textId="09FA3D30" w:rsidR="003E5FB0" w:rsidRPr="00616282" w:rsidRDefault="00DF6060">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8</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Adopting climate risk in the governance of </w:t>
      </w:r>
      <w:r w:rsidR="0034791F" w:rsidRPr="00616282">
        <w:rPr>
          <w:rFonts w:ascii="Calibri" w:hAnsi="Calibri" w:cs="Calibri"/>
          <w:b/>
          <w:bCs/>
          <w:color w:val="ED7D31" w:themeColor="accent2"/>
          <w:lang w:val="en-GB"/>
        </w:rPr>
        <w:t>financial institutions</w:t>
      </w:r>
      <w:bookmarkEnd w:id="46"/>
    </w:p>
    <w:p w14:paraId="042921E6" w14:textId="77777777" w:rsidR="00A74BD5" w:rsidRPr="00616282" w:rsidRDefault="00A74BD5" w:rsidP="00616282">
      <w:pPr>
        <w:rPr>
          <w:rFonts w:ascii="Calibri" w:hAnsi="Calibri" w:cs="Calibri"/>
          <w:b/>
          <w:bCs/>
          <w:color w:val="ED7D31" w:themeColor="accent2"/>
          <w:lang w:val="en-GB"/>
        </w:rPr>
      </w:pPr>
    </w:p>
    <w:tbl>
      <w:tblPr>
        <w:tblStyle w:val="TableGrid"/>
        <w:tblW w:w="0" w:type="auto"/>
        <w:tblInd w:w="-5"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4508"/>
        <w:gridCol w:w="4508"/>
      </w:tblGrid>
      <w:tr w:rsidR="004848B7" w:rsidRPr="004725EE" w14:paraId="63EBBFA8" w14:textId="77777777" w:rsidTr="0090701E">
        <w:tc>
          <w:tcPr>
            <w:tcW w:w="4508" w:type="dxa"/>
            <w:shd w:val="clear" w:color="auto" w:fill="D9D9D9" w:themeFill="background1" w:themeFillShade="D9"/>
          </w:tcPr>
          <w:p w14:paraId="11CEB1DC" w14:textId="03B22818" w:rsidR="00B067F9" w:rsidRPr="00616282" w:rsidRDefault="00B067F9" w:rsidP="005E68DE">
            <w:pPr>
              <w:jc w:val="center"/>
              <w:rPr>
                <w:rFonts w:ascii="Calibri" w:hAnsi="Calibri" w:cs="Calibri"/>
                <w:b/>
                <w:bCs/>
                <w:lang w:val="en-GB"/>
              </w:rPr>
            </w:pPr>
            <w:r w:rsidRPr="00616282">
              <w:rPr>
                <w:rFonts w:ascii="Calibri" w:hAnsi="Calibri" w:cs="Calibri"/>
                <w:b/>
                <w:bCs/>
                <w:color w:val="4472C4" w:themeColor="accent1"/>
                <w:lang w:val="en-GB"/>
              </w:rPr>
              <w:t>Board involvement</w:t>
            </w:r>
          </w:p>
        </w:tc>
        <w:tc>
          <w:tcPr>
            <w:tcW w:w="4508" w:type="dxa"/>
            <w:shd w:val="clear" w:color="auto" w:fill="D9D9D9" w:themeFill="background1" w:themeFillShade="D9"/>
          </w:tcPr>
          <w:p w14:paraId="4189F0E8" w14:textId="30ED7B1D" w:rsidR="00B067F9" w:rsidRPr="00616282" w:rsidRDefault="00B067F9" w:rsidP="005E68DE">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Management involvement</w:t>
            </w:r>
          </w:p>
        </w:tc>
      </w:tr>
      <w:tr w:rsidR="00B067F9" w:rsidRPr="004725EE" w14:paraId="6D021AC2" w14:textId="77777777" w:rsidTr="0090701E">
        <w:tc>
          <w:tcPr>
            <w:tcW w:w="4508" w:type="dxa"/>
          </w:tcPr>
          <w:p w14:paraId="38A186DA" w14:textId="77777777" w:rsidR="00B067F9" w:rsidRPr="00616282" w:rsidRDefault="00B067F9" w:rsidP="00773AE9">
            <w:pPr>
              <w:rPr>
                <w:rFonts w:ascii="Calibri" w:hAnsi="Calibri" w:cs="Calibri"/>
              </w:rPr>
            </w:pPr>
            <w:r w:rsidRPr="00616282">
              <w:rPr>
                <w:rFonts w:ascii="Calibri" w:hAnsi="Calibri" w:cs="Calibri"/>
              </w:rPr>
              <w:t xml:space="preserve">The board sets a climate strategy. This may be part of a wider sustainability or </w:t>
            </w:r>
            <w:bookmarkStart w:id="47" w:name="_Int_qgM8hSOU"/>
            <w:r w:rsidRPr="00616282">
              <w:rPr>
                <w:rFonts w:ascii="Calibri" w:hAnsi="Calibri" w:cs="Calibri"/>
              </w:rPr>
              <w:t>ESG</w:t>
            </w:r>
            <w:bookmarkEnd w:id="47"/>
            <w:r w:rsidRPr="00616282">
              <w:rPr>
                <w:rFonts w:ascii="Calibri" w:hAnsi="Calibri" w:cs="Calibri"/>
              </w:rPr>
              <w:t xml:space="preserve"> </w:t>
            </w:r>
            <w:proofErr w:type="gramStart"/>
            <w:r w:rsidRPr="00616282">
              <w:rPr>
                <w:rFonts w:ascii="Calibri" w:hAnsi="Calibri" w:cs="Calibri"/>
              </w:rPr>
              <w:t>strategy;</w:t>
            </w:r>
            <w:proofErr w:type="gramEnd"/>
            <w:r w:rsidRPr="00616282">
              <w:rPr>
                <w:rFonts w:ascii="Calibri" w:hAnsi="Calibri" w:cs="Calibri"/>
              </w:rPr>
              <w:t xml:space="preserve"> </w:t>
            </w:r>
          </w:p>
          <w:p w14:paraId="27BF350F" w14:textId="77777777" w:rsidR="00B067F9" w:rsidRPr="00616282" w:rsidRDefault="00B067F9" w:rsidP="00773AE9">
            <w:pPr>
              <w:rPr>
                <w:rFonts w:ascii="Calibri" w:hAnsi="Calibri" w:cs="Calibri"/>
              </w:rPr>
            </w:pPr>
          </w:p>
          <w:p w14:paraId="6D634E72" w14:textId="191531B9" w:rsidR="00B067F9" w:rsidRPr="00616282" w:rsidRDefault="00B067F9" w:rsidP="00773AE9">
            <w:pPr>
              <w:rPr>
                <w:rFonts w:ascii="Calibri" w:hAnsi="Calibri" w:cs="Calibri"/>
              </w:rPr>
            </w:pPr>
            <w:r w:rsidRPr="00616282">
              <w:rPr>
                <w:rFonts w:ascii="Calibri" w:hAnsi="Calibri" w:cs="Calibri"/>
              </w:rPr>
              <w:t xml:space="preserve">The board articulates which types of business to pursue and objectives to be </w:t>
            </w:r>
            <w:r w:rsidR="002666C8" w:rsidRPr="00616282">
              <w:rPr>
                <w:rFonts w:ascii="Calibri" w:hAnsi="Calibri" w:cs="Calibri"/>
              </w:rPr>
              <w:t>considered</w:t>
            </w:r>
            <w:r w:rsidRPr="00616282">
              <w:rPr>
                <w:rFonts w:ascii="Calibri" w:hAnsi="Calibri" w:cs="Calibri"/>
              </w:rPr>
              <w:t xml:space="preserve"> qualitatively, and eventually quantitatively, at the company </w:t>
            </w:r>
            <w:proofErr w:type="gramStart"/>
            <w:r w:rsidRPr="00616282">
              <w:rPr>
                <w:rFonts w:ascii="Calibri" w:hAnsi="Calibri" w:cs="Calibri"/>
              </w:rPr>
              <w:t>level;</w:t>
            </w:r>
            <w:proofErr w:type="gramEnd"/>
            <w:r w:rsidRPr="00616282">
              <w:rPr>
                <w:rFonts w:ascii="Calibri" w:hAnsi="Calibri" w:cs="Calibri"/>
              </w:rPr>
              <w:t xml:space="preserve"> </w:t>
            </w:r>
          </w:p>
          <w:p w14:paraId="15C56EFE" w14:textId="77777777" w:rsidR="00B067F9" w:rsidRPr="00616282" w:rsidRDefault="00B067F9" w:rsidP="00773AE9">
            <w:pPr>
              <w:pStyle w:val="ListParagraph"/>
              <w:contextualSpacing w:val="0"/>
              <w:outlineLvl w:val="0"/>
              <w:rPr>
                <w:rFonts w:ascii="Calibri" w:hAnsi="Calibri" w:cs="Calibri"/>
                <w:lang w:val="en-GB"/>
              </w:rPr>
            </w:pPr>
          </w:p>
          <w:p w14:paraId="523FB840" w14:textId="77777777" w:rsidR="00B067F9" w:rsidRPr="00616282" w:rsidRDefault="00B067F9" w:rsidP="00773AE9">
            <w:pPr>
              <w:rPr>
                <w:rFonts w:ascii="Calibri" w:hAnsi="Calibri" w:cs="Calibri"/>
              </w:rPr>
            </w:pPr>
            <w:r w:rsidRPr="00616282">
              <w:rPr>
                <w:rFonts w:ascii="Calibri" w:hAnsi="Calibri" w:cs="Calibri"/>
              </w:rPr>
              <w:t xml:space="preserve">Group-level risk managers provide a breakdown (such as capacities) for certain risk-taking (business) units, wherever quantitative limits are </w:t>
            </w:r>
            <w:proofErr w:type="gramStart"/>
            <w:r w:rsidRPr="00616282">
              <w:rPr>
                <w:rFonts w:ascii="Calibri" w:hAnsi="Calibri" w:cs="Calibri"/>
              </w:rPr>
              <w:t>defined;</w:t>
            </w:r>
            <w:proofErr w:type="gramEnd"/>
          </w:p>
          <w:p w14:paraId="1E904A7E" w14:textId="77777777" w:rsidR="00B067F9" w:rsidRPr="00616282" w:rsidRDefault="00B067F9" w:rsidP="00773AE9">
            <w:pPr>
              <w:pStyle w:val="ListParagraph"/>
              <w:contextualSpacing w:val="0"/>
              <w:outlineLvl w:val="0"/>
              <w:rPr>
                <w:rFonts w:ascii="Calibri" w:hAnsi="Calibri" w:cs="Calibri"/>
                <w:lang w:val="en-GB"/>
              </w:rPr>
            </w:pPr>
          </w:p>
          <w:p w14:paraId="718C4F01" w14:textId="7E44557B" w:rsidR="00B067F9" w:rsidRPr="00616282" w:rsidRDefault="00B067F9" w:rsidP="00773AE9">
            <w:pPr>
              <w:rPr>
                <w:rFonts w:ascii="Calibri" w:hAnsi="Calibri" w:cs="Calibri"/>
              </w:rPr>
            </w:pPr>
            <w:r w:rsidRPr="00616282">
              <w:rPr>
                <w:rFonts w:ascii="Calibri" w:hAnsi="Calibri" w:cs="Calibri"/>
              </w:rPr>
              <w:t xml:space="preserve">Business units consider capacity limits for risk taking, and balance these limits with other objectives for risk taking; and </w:t>
            </w:r>
          </w:p>
          <w:p w14:paraId="2EBFDED0" w14:textId="77777777" w:rsidR="00B067F9" w:rsidRPr="00616282" w:rsidRDefault="00B067F9" w:rsidP="00773AE9">
            <w:pPr>
              <w:rPr>
                <w:rFonts w:ascii="Calibri" w:hAnsi="Calibri" w:cs="Calibri"/>
              </w:rPr>
            </w:pPr>
          </w:p>
          <w:p w14:paraId="5DD50312" w14:textId="239523AD" w:rsidR="00B067F9" w:rsidRPr="00616282" w:rsidRDefault="00B067F9" w:rsidP="00773AE9">
            <w:pPr>
              <w:rPr>
                <w:rFonts w:ascii="Calibri" w:hAnsi="Calibri" w:cs="Calibri"/>
                <w:lang w:val="en-GB"/>
              </w:rPr>
            </w:pPr>
            <w:r w:rsidRPr="00616282">
              <w:rPr>
                <w:rFonts w:ascii="Calibri" w:hAnsi="Calibri" w:cs="Calibri"/>
              </w:rPr>
              <w:t>Risk management, underwriting, and asset management incorporate principles into their governance frameworks to control their limits, monitor adherence to the limits, and describe escalation procedures (as necessary).</w:t>
            </w:r>
            <w:r w:rsidRPr="00616282">
              <w:rPr>
                <w:rStyle w:val="FootnoteReference"/>
                <w:rFonts w:ascii="Calibri" w:hAnsi="Calibri" w:cs="Calibri"/>
                <w:lang w:val="en-GB"/>
              </w:rPr>
              <w:footnoteReference w:id="8"/>
            </w:r>
          </w:p>
        </w:tc>
        <w:tc>
          <w:tcPr>
            <w:tcW w:w="4508" w:type="dxa"/>
            <w:shd w:val="clear" w:color="auto" w:fill="auto"/>
          </w:tcPr>
          <w:p w14:paraId="4E8C958E" w14:textId="77777777" w:rsidR="00C00E12" w:rsidRPr="00616282" w:rsidRDefault="007229E9" w:rsidP="00773AE9">
            <w:pPr>
              <w:rPr>
                <w:rFonts w:ascii="Calibri" w:hAnsi="Calibri" w:cs="Calibri"/>
              </w:rPr>
            </w:pPr>
            <w:r w:rsidRPr="00616282">
              <w:rPr>
                <w:rFonts w:ascii="Calibri" w:hAnsi="Calibri" w:cs="Calibri"/>
              </w:rPr>
              <w:t xml:space="preserve">When assigning senior management responsibility for climate risk, consider where responsibility for other financial risks is managed and align with that responsibility. This will depend on the firm, but examples include the Chief Risk Officer and/or the Chief Financial Officer/ Chief Investment Officer. </w:t>
            </w:r>
          </w:p>
          <w:p w14:paraId="7B7682A1" w14:textId="77777777" w:rsidR="00C00E12" w:rsidRPr="00616282" w:rsidRDefault="00C00E12" w:rsidP="00773AE9">
            <w:pPr>
              <w:rPr>
                <w:rFonts w:ascii="Calibri" w:hAnsi="Calibri" w:cs="Calibri"/>
              </w:rPr>
            </w:pPr>
          </w:p>
          <w:p w14:paraId="3F378660" w14:textId="06E4329E" w:rsidR="007229E9" w:rsidRPr="00616282" w:rsidRDefault="007229E9" w:rsidP="00773AE9">
            <w:pPr>
              <w:rPr>
                <w:rFonts w:ascii="Calibri" w:hAnsi="Calibri" w:cs="Calibri"/>
              </w:rPr>
            </w:pPr>
            <w:r w:rsidRPr="00616282">
              <w:rPr>
                <w:rFonts w:ascii="Calibri" w:hAnsi="Calibri" w:cs="Calibri"/>
              </w:rPr>
              <w:t>Senior Management Function (“SMF”) responsibility for climate risk should be assigned to an existing SMF; and the responsibility should not be shared between ‘too many’ individuals. As a guiding principle, not assigning SMF responsibility to more than 2 people is a good starting point, subject to the firm’s legal and corporate governance structure.</w:t>
            </w:r>
          </w:p>
          <w:p w14:paraId="4AE58087" w14:textId="77777777" w:rsidR="007229E9" w:rsidRPr="00616282" w:rsidRDefault="007229E9" w:rsidP="00773AE9">
            <w:pPr>
              <w:rPr>
                <w:rFonts w:ascii="Calibri" w:hAnsi="Calibri" w:cs="Calibri"/>
              </w:rPr>
            </w:pPr>
          </w:p>
          <w:p w14:paraId="0147F273" w14:textId="77208C05" w:rsidR="007229E9" w:rsidRPr="00616282" w:rsidRDefault="007229E9" w:rsidP="00773AE9">
            <w:pPr>
              <w:rPr>
                <w:rFonts w:ascii="Calibri" w:hAnsi="Calibri" w:cs="Calibri"/>
              </w:rPr>
            </w:pPr>
            <w:r w:rsidRPr="00616282">
              <w:rPr>
                <w:rFonts w:ascii="Calibri" w:hAnsi="Calibri" w:cs="Calibri"/>
              </w:rPr>
              <w:t xml:space="preserve">Ensure the dissemination of responsibility is allocated appropriately and documented. Update the relevant committee terms of reference and set-up a committee or working group, chaired by the SMF holder, with representation from across the three lines of </w:t>
            </w:r>
            <w:proofErr w:type="spellStart"/>
            <w:r w:rsidRPr="00616282">
              <w:rPr>
                <w:rFonts w:ascii="Calibri" w:hAnsi="Calibri" w:cs="Calibri"/>
              </w:rPr>
              <w:t>defence</w:t>
            </w:r>
            <w:proofErr w:type="spellEnd"/>
            <w:r w:rsidRPr="00616282">
              <w:rPr>
                <w:rFonts w:ascii="Calibri" w:hAnsi="Calibri" w:cs="Calibri"/>
              </w:rPr>
              <w:t>, to oversee operational delivery.</w:t>
            </w:r>
          </w:p>
          <w:p w14:paraId="79826B15" w14:textId="77777777" w:rsidR="007229E9" w:rsidRPr="00616282" w:rsidRDefault="007229E9" w:rsidP="00773AE9">
            <w:pPr>
              <w:rPr>
                <w:rFonts w:ascii="Calibri" w:hAnsi="Calibri" w:cs="Calibri"/>
              </w:rPr>
            </w:pPr>
          </w:p>
          <w:p w14:paraId="2064E43B" w14:textId="77777777" w:rsidR="00B067F9" w:rsidRPr="00616282" w:rsidRDefault="007229E9" w:rsidP="00773AE9">
            <w:pPr>
              <w:rPr>
                <w:rFonts w:ascii="Calibri" w:hAnsi="Calibri" w:cs="Calibri"/>
              </w:rPr>
            </w:pPr>
            <w:r w:rsidRPr="00616282">
              <w:rPr>
                <w:rFonts w:ascii="Calibri" w:hAnsi="Calibri" w:cs="Calibri"/>
              </w:rPr>
              <w:t xml:space="preserve">Senior management responsibility for climate risk management, alone, does not allocate responsibility across the firm. It’s important to clarify roles and responsibilities across all three lines of </w:t>
            </w:r>
            <w:proofErr w:type="spellStart"/>
            <w:r w:rsidRPr="00616282">
              <w:rPr>
                <w:rFonts w:ascii="Calibri" w:hAnsi="Calibri" w:cs="Calibri"/>
              </w:rPr>
              <w:t>defence</w:t>
            </w:r>
            <w:proofErr w:type="spellEnd"/>
            <w:r w:rsidRPr="00616282">
              <w:rPr>
                <w:rFonts w:ascii="Calibri" w:hAnsi="Calibri" w:cs="Calibri"/>
              </w:rPr>
              <w:t>, so that the ownership and accountability are clear and coordinated.</w:t>
            </w:r>
          </w:p>
          <w:p w14:paraId="4FE3B0CA" w14:textId="065FA534" w:rsidR="006025CF" w:rsidRPr="00616282" w:rsidRDefault="006025CF" w:rsidP="00773AE9">
            <w:pPr>
              <w:pStyle w:val="ListParagraph"/>
              <w:ind w:left="0"/>
              <w:contextualSpacing w:val="0"/>
              <w:outlineLvl w:val="0"/>
              <w:rPr>
                <w:rFonts w:ascii="Calibri" w:hAnsi="Calibri" w:cs="Calibri"/>
                <w:lang w:val="en-GB"/>
              </w:rPr>
            </w:pPr>
          </w:p>
        </w:tc>
      </w:tr>
    </w:tbl>
    <w:p w14:paraId="611576BB" w14:textId="77777777" w:rsidR="00BA2B00" w:rsidRPr="00616282" w:rsidRDefault="00BA2B00" w:rsidP="00D758C4">
      <w:pPr>
        <w:jc w:val="both"/>
        <w:rPr>
          <w:rFonts w:ascii="Calibri" w:hAnsi="Calibri" w:cs="Calibri"/>
          <w:lang w:val="en-GB"/>
        </w:rPr>
      </w:pPr>
    </w:p>
    <w:p w14:paraId="4DF5451D" w14:textId="43F9235F" w:rsidR="00976224" w:rsidRPr="00616282" w:rsidRDefault="00FA4613" w:rsidP="0046333A">
      <w:pPr>
        <w:pStyle w:val="FootnoteText"/>
        <w:jc w:val="both"/>
        <w:rPr>
          <w:rFonts w:ascii="Calibri" w:hAnsi="Calibri" w:cs="Calibri"/>
          <w:sz w:val="24"/>
          <w:szCs w:val="24"/>
          <w:lang w:val="en-GB"/>
        </w:rPr>
      </w:pPr>
      <w:r w:rsidRPr="00616282">
        <w:rPr>
          <w:rFonts w:ascii="Calibri" w:hAnsi="Calibri" w:cs="Calibri"/>
          <w:sz w:val="24"/>
          <w:szCs w:val="24"/>
          <w:lang w:val="en-GB"/>
        </w:rPr>
        <w:t xml:space="preserve">CBK provides ample flexibility for banks to demonstrate </w:t>
      </w:r>
      <w:r w:rsidR="00FD78A6" w:rsidRPr="00616282">
        <w:rPr>
          <w:rFonts w:ascii="Calibri" w:hAnsi="Calibri" w:cs="Calibri"/>
          <w:sz w:val="24"/>
          <w:szCs w:val="24"/>
          <w:lang w:val="en-GB"/>
        </w:rPr>
        <w:t>and evidence governance of climate</w:t>
      </w:r>
      <w:r w:rsidR="00773AE9">
        <w:rPr>
          <w:rFonts w:ascii="Calibri" w:hAnsi="Calibri" w:cs="Calibri"/>
          <w:sz w:val="24"/>
          <w:szCs w:val="24"/>
          <w:lang w:val="en-GB"/>
        </w:rPr>
        <w:t>-</w:t>
      </w:r>
      <w:r w:rsidR="00FD78A6" w:rsidRPr="00616282">
        <w:rPr>
          <w:rFonts w:ascii="Calibri" w:hAnsi="Calibri" w:cs="Calibri"/>
          <w:sz w:val="24"/>
          <w:szCs w:val="24"/>
          <w:lang w:val="en-GB"/>
        </w:rPr>
        <w:t>related issues primarily in a qualitative questionnaire format</w:t>
      </w:r>
      <w:r w:rsidR="00773AE9">
        <w:rPr>
          <w:rFonts w:ascii="Calibri" w:hAnsi="Calibri" w:cs="Calibri"/>
          <w:sz w:val="24"/>
          <w:szCs w:val="24"/>
          <w:lang w:val="en-GB"/>
        </w:rPr>
        <w:t>,</w:t>
      </w:r>
      <w:r w:rsidR="000C1D95" w:rsidRPr="00616282">
        <w:rPr>
          <w:rFonts w:ascii="Calibri" w:hAnsi="Calibri" w:cs="Calibri"/>
          <w:sz w:val="24"/>
          <w:szCs w:val="24"/>
          <w:lang w:val="en-GB"/>
        </w:rPr>
        <w:t xml:space="preserve"> as shown below.</w:t>
      </w:r>
    </w:p>
    <w:p w14:paraId="200DC603" w14:textId="77777777" w:rsidR="000C1D95" w:rsidRPr="00616282" w:rsidRDefault="000C1D95" w:rsidP="0046333A">
      <w:pPr>
        <w:pStyle w:val="FootnoteText"/>
        <w:jc w:val="both"/>
        <w:rPr>
          <w:rFonts w:ascii="Calibri" w:hAnsi="Calibri" w:cs="Calibri"/>
          <w:sz w:val="24"/>
          <w:szCs w:val="24"/>
          <w:lang w:val="en-GB"/>
        </w:rPr>
      </w:pPr>
    </w:p>
    <w:p w14:paraId="46503683" w14:textId="77777777" w:rsidR="00157082" w:rsidRDefault="00157082">
      <w:pPr>
        <w:rPr>
          <w:rFonts w:ascii="Calibri" w:hAnsi="Calibri" w:cs="Calibri"/>
          <w:b/>
          <w:bCs/>
          <w:color w:val="ED7D31" w:themeColor="accent2"/>
          <w:lang w:val="en-GB"/>
        </w:rPr>
      </w:pPr>
      <w:bookmarkStart w:id="48" w:name="_Toc171908203"/>
      <w:r>
        <w:rPr>
          <w:rFonts w:ascii="Calibri" w:hAnsi="Calibri" w:cs="Calibri"/>
          <w:b/>
          <w:bCs/>
          <w:color w:val="ED7D31" w:themeColor="accent2"/>
          <w:lang w:val="en-GB"/>
        </w:rPr>
        <w:br w:type="page"/>
      </w:r>
    </w:p>
    <w:p w14:paraId="066117FD" w14:textId="6DE539DD" w:rsidR="000C1D95" w:rsidRPr="00616282" w:rsidRDefault="000C1D95"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9</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Questionnaires </w:t>
      </w:r>
      <w:r w:rsidR="00C81C0E" w:rsidRPr="00616282">
        <w:rPr>
          <w:rFonts w:ascii="Calibri" w:hAnsi="Calibri" w:cs="Calibri"/>
          <w:b/>
          <w:bCs/>
          <w:color w:val="ED7D31" w:themeColor="accent2"/>
          <w:lang w:val="en-GB"/>
        </w:rPr>
        <w:t xml:space="preserve">and Tables </w:t>
      </w:r>
      <w:r w:rsidRPr="00616282">
        <w:rPr>
          <w:rFonts w:ascii="Calibri" w:hAnsi="Calibri" w:cs="Calibri"/>
          <w:b/>
          <w:bCs/>
          <w:color w:val="ED7D31" w:themeColor="accent2"/>
          <w:lang w:val="en-GB"/>
        </w:rPr>
        <w:t>on Governance</w:t>
      </w:r>
      <w:bookmarkEnd w:id="48"/>
    </w:p>
    <w:p w14:paraId="73BF6282" w14:textId="77777777" w:rsidR="000C1D95" w:rsidRPr="00616282" w:rsidRDefault="000C1D95" w:rsidP="0046333A">
      <w:pPr>
        <w:pStyle w:val="FootnoteText"/>
        <w:jc w:val="both"/>
        <w:rPr>
          <w:rFonts w:ascii="Calibri" w:hAnsi="Calibri" w:cs="Calibri"/>
          <w:sz w:val="24"/>
          <w:szCs w:val="24"/>
          <w:lang w:val="en-GB"/>
        </w:rPr>
      </w:pPr>
    </w:p>
    <w:p w14:paraId="11063DAB" w14:textId="7AE45FD8" w:rsidR="00FD78A6" w:rsidRPr="00616282" w:rsidRDefault="00FA5425" w:rsidP="0046333A">
      <w:pPr>
        <w:pStyle w:val="FootnoteText"/>
        <w:jc w:val="both"/>
        <w:rPr>
          <w:rFonts w:ascii="Calibri" w:hAnsi="Calibri" w:cs="Calibri"/>
          <w:sz w:val="24"/>
          <w:szCs w:val="24"/>
          <w:lang w:val="en-GB"/>
        </w:rPr>
      </w:pPr>
      <w:r w:rsidRPr="00616282">
        <w:rPr>
          <w:rFonts w:ascii="Calibri" w:hAnsi="Calibri" w:cs="Calibri"/>
          <w:noProof/>
          <w14:ligatures w14:val="standardContextual"/>
        </w:rPr>
        <w:t xml:space="preserve"> </w:t>
      </w:r>
      <w:r w:rsidRPr="00616282">
        <w:rPr>
          <w:rFonts w:ascii="Calibri" w:hAnsi="Calibri" w:cs="Calibri"/>
          <w:noProof/>
          <w:sz w:val="24"/>
          <w:szCs w:val="24"/>
          <w:lang w:val="en-GB"/>
        </w:rPr>
        <w:drawing>
          <wp:inline distT="0" distB="0" distL="0" distR="0" wp14:anchorId="042758BD" wp14:editId="23C99043">
            <wp:extent cx="5731510" cy="828040"/>
            <wp:effectExtent l="0" t="0" r="0" b="0"/>
            <wp:docPr id="15166116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611674" name=""/>
                    <pic:cNvPicPr/>
                  </pic:nvPicPr>
                  <pic:blipFill>
                    <a:blip r:embed="rId21"/>
                    <a:stretch>
                      <a:fillRect/>
                    </a:stretch>
                  </pic:blipFill>
                  <pic:spPr>
                    <a:xfrm>
                      <a:off x="0" y="0"/>
                      <a:ext cx="5731510" cy="828040"/>
                    </a:xfrm>
                    <a:prstGeom prst="rect">
                      <a:avLst/>
                    </a:prstGeom>
                  </pic:spPr>
                </pic:pic>
              </a:graphicData>
            </a:graphic>
          </wp:inline>
        </w:drawing>
      </w:r>
    </w:p>
    <w:p w14:paraId="25480022" w14:textId="77777777" w:rsidR="00FD78A6" w:rsidRPr="00616282" w:rsidRDefault="00FD78A6" w:rsidP="0046333A">
      <w:pPr>
        <w:pStyle w:val="FootnoteText"/>
        <w:jc w:val="both"/>
        <w:rPr>
          <w:rFonts w:ascii="Calibri" w:hAnsi="Calibri" w:cs="Calibri"/>
          <w:sz w:val="24"/>
          <w:szCs w:val="24"/>
          <w:lang w:val="en-GB"/>
        </w:rPr>
      </w:pPr>
    </w:p>
    <w:p w14:paraId="7F1949F0" w14:textId="27979F60" w:rsidR="00FD78A6" w:rsidRPr="00616282" w:rsidRDefault="00FA5425" w:rsidP="0046333A">
      <w:pPr>
        <w:pStyle w:val="FootnoteText"/>
        <w:jc w:val="both"/>
        <w:rPr>
          <w:rFonts w:ascii="Calibri" w:hAnsi="Calibri" w:cs="Calibri"/>
          <w:noProof/>
          <w14:ligatures w14:val="standardContextual"/>
        </w:rPr>
      </w:pPr>
      <w:r w:rsidRPr="00616282">
        <w:rPr>
          <w:rFonts w:ascii="Calibri" w:hAnsi="Calibri" w:cs="Calibri"/>
          <w:noProof/>
          <w:sz w:val="24"/>
          <w:szCs w:val="24"/>
          <w:lang w:val="en-GB"/>
        </w:rPr>
        <w:drawing>
          <wp:inline distT="0" distB="0" distL="0" distR="0" wp14:anchorId="3D029EE9" wp14:editId="735AFE1A">
            <wp:extent cx="5731510" cy="1252855"/>
            <wp:effectExtent l="0" t="0" r="0" b="4445"/>
            <wp:docPr id="6623995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99532" name=""/>
                    <pic:cNvPicPr/>
                  </pic:nvPicPr>
                  <pic:blipFill>
                    <a:blip r:embed="rId22"/>
                    <a:stretch>
                      <a:fillRect/>
                    </a:stretch>
                  </pic:blipFill>
                  <pic:spPr>
                    <a:xfrm>
                      <a:off x="0" y="0"/>
                      <a:ext cx="5731510" cy="1252855"/>
                    </a:xfrm>
                    <a:prstGeom prst="rect">
                      <a:avLst/>
                    </a:prstGeom>
                  </pic:spPr>
                </pic:pic>
              </a:graphicData>
            </a:graphic>
          </wp:inline>
        </w:drawing>
      </w:r>
    </w:p>
    <w:p w14:paraId="5E71E40D" w14:textId="63BA069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r w:rsidRPr="00616282">
        <w:rPr>
          <w:rFonts w:ascii="Calibri" w:hAnsi="Calibri" w:cs="Calibri"/>
          <w:sz w:val="20"/>
          <w:szCs w:val="20"/>
        </w:rPr>
        <w:t xml:space="preserve"> </w:t>
      </w:r>
    </w:p>
    <w:p w14:paraId="0D0DEE75" w14:textId="77777777" w:rsidR="00D81ACA" w:rsidRPr="00616282" w:rsidRDefault="00D81ACA" w:rsidP="00616282">
      <w:pPr>
        <w:rPr>
          <w:rFonts w:ascii="Calibri" w:hAnsi="Calibri" w:cs="Calibri"/>
          <w:b/>
          <w:bCs/>
          <w:color w:val="ED7D31" w:themeColor="accent2"/>
          <w:lang w:val="en-GB"/>
        </w:rPr>
      </w:pPr>
    </w:p>
    <w:p w14:paraId="07E9FCCF" w14:textId="552F3BD6" w:rsidR="00856169" w:rsidRPr="00616282" w:rsidRDefault="00856169" w:rsidP="0061766C">
      <w:pPr>
        <w:pStyle w:val="Heading1"/>
        <w:pBdr>
          <w:bottom w:val="single" w:sz="8" w:space="1" w:color="2E74B5" w:themeColor="accent5" w:themeShade="BF"/>
        </w:pBdr>
        <w:rPr>
          <w:rFonts w:ascii="Calibri" w:hAnsi="Calibri" w:cs="Calibri"/>
        </w:rPr>
      </w:pPr>
      <w:bookmarkStart w:id="49" w:name="_Toc167079295"/>
      <w:bookmarkStart w:id="50" w:name="_Toc167079485"/>
      <w:bookmarkStart w:id="51" w:name="_Toc171908185"/>
      <w:r w:rsidRPr="00616282">
        <w:rPr>
          <w:rFonts w:ascii="Calibri" w:hAnsi="Calibri" w:cs="Calibri"/>
        </w:rPr>
        <w:t>Strategy for managing climate-related risks and opportunities</w:t>
      </w:r>
      <w:bookmarkEnd w:id="49"/>
      <w:bookmarkEnd w:id="50"/>
      <w:bookmarkEnd w:id="51"/>
    </w:p>
    <w:p w14:paraId="6FD01AFB" w14:textId="77777777" w:rsidR="001015AB" w:rsidRPr="00616282" w:rsidRDefault="001015AB" w:rsidP="00FB0DA0">
      <w:pPr>
        <w:outlineLvl w:val="0"/>
        <w:rPr>
          <w:rFonts w:ascii="Calibri" w:hAnsi="Calibri" w:cs="Calibri"/>
          <w:lang w:val="en-GB"/>
        </w:rPr>
      </w:pPr>
    </w:p>
    <w:p w14:paraId="651CC728" w14:textId="729BB5E1" w:rsidR="00BE6B3E" w:rsidRPr="00616282" w:rsidRDefault="0036307F" w:rsidP="002D5BA0">
      <w:pPr>
        <w:jc w:val="both"/>
        <w:rPr>
          <w:rFonts w:ascii="Calibri" w:hAnsi="Calibri" w:cs="Calibri"/>
          <w:lang w:val="en-GB"/>
        </w:rPr>
      </w:pPr>
      <w:r w:rsidRPr="00616282">
        <w:rPr>
          <w:rFonts w:ascii="Calibri" w:hAnsi="Calibri" w:cs="Calibri"/>
          <w:lang w:val="en-GB"/>
        </w:rPr>
        <w:t>The C</w:t>
      </w:r>
      <w:r w:rsidR="00C950D3" w:rsidRPr="00616282">
        <w:rPr>
          <w:rFonts w:ascii="Calibri" w:hAnsi="Calibri" w:cs="Calibri"/>
          <w:lang w:val="en-GB"/>
        </w:rPr>
        <w:t>entral Bank of Kenya</w:t>
      </w:r>
      <w:r w:rsidR="00C00E12" w:rsidRPr="00616282">
        <w:rPr>
          <w:rFonts w:ascii="Calibri" w:hAnsi="Calibri" w:cs="Calibri"/>
          <w:lang w:val="en-GB"/>
        </w:rPr>
        <w:t>’s</w:t>
      </w:r>
      <w:r w:rsidR="00C950D3" w:rsidRPr="00616282">
        <w:rPr>
          <w:rFonts w:ascii="Calibri" w:hAnsi="Calibri" w:cs="Calibri"/>
          <w:lang w:val="en-GB"/>
        </w:rPr>
        <w:t xml:space="preserve"> expectation on climate risk management</w:t>
      </w:r>
      <w:r w:rsidRPr="00616282">
        <w:rPr>
          <w:rFonts w:ascii="Calibri" w:hAnsi="Calibri" w:cs="Calibri"/>
          <w:lang w:val="en-GB"/>
        </w:rPr>
        <w:t xml:space="preserve"> considers that i</w:t>
      </w:r>
      <w:r w:rsidR="00C950D3" w:rsidRPr="00616282">
        <w:rPr>
          <w:rFonts w:ascii="Calibri" w:hAnsi="Calibri" w:cs="Calibri"/>
          <w:lang w:val="en-GB"/>
        </w:rPr>
        <w:t xml:space="preserve">n formulating their business strategies, institutions are expected to understand the impact of climate-related risks on the business environment in which they operate, in the short, </w:t>
      </w:r>
      <w:r w:rsidR="00DD4F7B" w:rsidRPr="00616282">
        <w:rPr>
          <w:rFonts w:ascii="Calibri" w:hAnsi="Calibri" w:cs="Calibri"/>
          <w:lang w:val="en-GB"/>
        </w:rPr>
        <w:t>medium,</w:t>
      </w:r>
      <w:r w:rsidR="00C950D3" w:rsidRPr="00616282">
        <w:rPr>
          <w:rFonts w:ascii="Calibri" w:hAnsi="Calibri" w:cs="Calibri"/>
          <w:lang w:val="en-GB"/>
        </w:rPr>
        <w:t xml:space="preserve"> and long term, to facilitate informed strategic and business decisions. </w:t>
      </w:r>
      <w:r w:rsidR="00C53FD0" w:rsidRPr="00616282">
        <w:rPr>
          <w:rFonts w:ascii="Calibri" w:hAnsi="Calibri" w:cs="Calibri"/>
          <w:lang w:val="en-GB"/>
        </w:rPr>
        <w:t>(Section 3.3</w:t>
      </w:r>
      <w:r w:rsidR="00ED1268" w:rsidRPr="00616282">
        <w:rPr>
          <w:rFonts w:ascii="Calibri" w:hAnsi="Calibri" w:cs="Calibri"/>
          <w:lang w:val="en-GB"/>
        </w:rPr>
        <w:t xml:space="preserve"> </w:t>
      </w:r>
      <w:r w:rsidR="00C53FD0" w:rsidRPr="00616282">
        <w:rPr>
          <w:rFonts w:ascii="Calibri" w:hAnsi="Calibri" w:cs="Calibri"/>
          <w:lang w:val="en-GB"/>
        </w:rPr>
        <w:t>of the CBK Guidance on Climate-related Risk Management. 2021).</w:t>
      </w:r>
    </w:p>
    <w:p w14:paraId="58810571" w14:textId="77777777" w:rsidR="00BE6B3E" w:rsidRPr="00616282" w:rsidRDefault="00BE6B3E" w:rsidP="00BE6B3E">
      <w:pPr>
        <w:pStyle w:val="ListParagraph"/>
        <w:rPr>
          <w:rFonts w:ascii="Calibri" w:hAnsi="Calibri" w:cs="Calibri"/>
          <w:lang w:val="en-GB"/>
        </w:rPr>
      </w:pPr>
    </w:p>
    <w:p w14:paraId="5F6D7753" w14:textId="14CC8A5A" w:rsidR="00F43E47" w:rsidRPr="00616282" w:rsidRDefault="00F43E47" w:rsidP="002D5BA0">
      <w:pPr>
        <w:jc w:val="both"/>
        <w:rPr>
          <w:rFonts w:ascii="Calibri" w:hAnsi="Calibri" w:cs="Calibri"/>
          <w:lang w:val="en-GB"/>
        </w:rPr>
      </w:pPr>
      <w:r w:rsidRPr="00616282">
        <w:rPr>
          <w:rFonts w:ascii="Calibri" w:hAnsi="Calibri" w:cs="Calibri"/>
          <w:lang w:val="en-GB"/>
        </w:rPr>
        <w:t>The aim of climate-related financial disclosures concerning strategy is to provide a comprehensive understanding of how an entity manages climate-related risks and opportunities. This involves disclosing information on: (a) the climate-related risks and opportunities expected to impact the entity's prospects, (b) the present and future effects of these climate-related factors on the entity's business model and value chain, (c) how these factors influence the entity's strategy and decision-making, including details on its climate-related transition plan, (d) the impacts of these factors on the entity's financial position, performance, and cash flows for the reporting period, as well as their expected effects over the short, medium, and long term, considering their incorporation into financial planning, and (e) the resilience of the entity's strategy and business model to climate-related changes and uncertainties, based on identified risks and opportunities.</w:t>
      </w:r>
    </w:p>
    <w:p w14:paraId="5DDA71ED" w14:textId="77777777" w:rsidR="000275C4" w:rsidRPr="00616282" w:rsidRDefault="000275C4" w:rsidP="00FB0DA0">
      <w:pPr>
        <w:pStyle w:val="ListParagraph"/>
        <w:contextualSpacing w:val="0"/>
        <w:outlineLvl w:val="0"/>
        <w:rPr>
          <w:rFonts w:ascii="Calibri" w:hAnsi="Calibri" w:cs="Calibri"/>
          <w:b/>
          <w:bCs/>
          <w:color w:val="ED7D31" w:themeColor="accent2"/>
          <w:lang w:val="en-GB"/>
        </w:rPr>
      </w:pPr>
    </w:p>
    <w:p w14:paraId="45F680AF" w14:textId="77777777" w:rsidR="00157082" w:rsidRDefault="00157082">
      <w:pPr>
        <w:rPr>
          <w:rFonts w:ascii="Calibri" w:hAnsi="Calibri" w:cs="Calibri"/>
          <w:b/>
          <w:bCs/>
          <w:color w:val="ED7D31" w:themeColor="accent2"/>
          <w:lang w:val="en-GB"/>
        </w:rPr>
      </w:pPr>
      <w:bookmarkStart w:id="52" w:name="_Toc171908204"/>
      <w:r>
        <w:rPr>
          <w:rFonts w:ascii="Calibri" w:hAnsi="Calibri" w:cs="Calibri"/>
          <w:b/>
          <w:bCs/>
          <w:color w:val="ED7D31" w:themeColor="accent2"/>
          <w:lang w:val="en-GB"/>
        </w:rPr>
        <w:br w:type="page"/>
      </w:r>
    </w:p>
    <w:p w14:paraId="0E6AC2B0" w14:textId="60DA92C4" w:rsidR="00B2753A" w:rsidRPr="00616282" w:rsidRDefault="00BE6B3E"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10</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0275C4" w:rsidRPr="00616282">
        <w:rPr>
          <w:rFonts w:ascii="Calibri" w:hAnsi="Calibri" w:cs="Calibri"/>
          <w:b/>
          <w:bCs/>
          <w:color w:val="ED7D31" w:themeColor="accent2"/>
          <w:lang w:val="en-GB"/>
        </w:rPr>
        <w:t>Linking CBK, IFRS and BCBS expectations</w:t>
      </w:r>
      <w:r w:rsidRPr="00616282">
        <w:rPr>
          <w:rFonts w:ascii="Calibri" w:hAnsi="Calibri" w:cs="Calibri"/>
          <w:b/>
          <w:bCs/>
          <w:color w:val="ED7D31" w:themeColor="accent2"/>
          <w:lang w:val="en-GB"/>
        </w:rPr>
        <w:t xml:space="preserve"> on business strategy</w:t>
      </w:r>
      <w:bookmarkEnd w:id="52"/>
    </w:p>
    <w:p w14:paraId="16142229" w14:textId="77777777" w:rsidR="00E150F0" w:rsidRPr="00616282" w:rsidRDefault="00E150F0" w:rsidP="00E150F0">
      <w:pPr>
        <w:rPr>
          <w:rFonts w:ascii="Calibri" w:hAnsi="Calibri" w:cs="Calibri"/>
          <w:lang w:val="en-GB"/>
        </w:rPr>
      </w:pP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611"/>
        <w:gridCol w:w="2799"/>
        <w:gridCol w:w="2541"/>
      </w:tblGrid>
      <w:tr w:rsidR="00FA69E0" w:rsidRPr="004725EE" w14:paraId="34DBC9FE" w14:textId="77777777" w:rsidTr="00CB4FD6">
        <w:trPr>
          <w:tblHeader/>
        </w:trPr>
        <w:tc>
          <w:tcPr>
            <w:tcW w:w="2065" w:type="dxa"/>
            <w:shd w:val="clear" w:color="auto" w:fill="FBE4D5" w:themeFill="accent2" w:themeFillTint="33"/>
          </w:tcPr>
          <w:p w14:paraId="36390C1D" w14:textId="05D93A02" w:rsidR="003202DC"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410" w:type="dxa"/>
            <w:gridSpan w:val="2"/>
            <w:shd w:val="clear" w:color="auto" w:fill="D9D9D9" w:themeFill="background1" w:themeFillShade="D9"/>
          </w:tcPr>
          <w:p w14:paraId="5BB2BFAD" w14:textId="6B0D985C" w:rsidR="003202DC"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541" w:type="dxa"/>
            <w:vMerge w:val="restart"/>
            <w:shd w:val="clear" w:color="auto" w:fill="D9D9D9" w:themeFill="background1" w:themeFillShade="D9"/>
          </w:tcPr>
          <w:p w14:paraId="73704389" w14:textId="337FA2E5" w:rsidR="003202DC" w:rsidRPr="00616282" w:rsidRDefault="003202DC" w:rsidP="00FB0DA0">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w:t>
            </w:r>
            <w:r w:rsidR="0083069C" w:rsidRPr="00616282">
              <w:rPr>
                <w:rFonts w:ascii="Calibri" w:hAnsi="Calibri" w:cs="Calibri"/>
                <w:b/>
                <w:color w:val="4472C4" w:themeColor="accent1"/>
                <w:lang w:val="en-GB"/>
              </w:rPr>
              <w:t>s</w:t>
            </w:r>
          </w:p>
        </w:tc>
      </w:tr>
      <w:tr w:rsidR="004F4843" w:rsidRPr="004725EE" w14:paraId="61ADE717" w14:textId="77777777" w:rsidTr="00F31FB2">
        <w:trPr>
          <w:tblHeader/>
        </w:trPr>
        <w:tc>
          <w:tcPr>
            <w:tcW w:w="2065" w:type="dxa"/>
            <w:shd w:val="clear" w:color="auto" w:fill="FBE4D5" w:themeFill="accent2" w:themeFillTint="33"/>
          </w:tcPr>
          <w:p w14:paraId="6EE0EC6A" w14:textId="79930F5A" w:rsidR="00054B7B"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Strategy</w:t>
            </w:r>
          </w:p>
        </w:tc>
        <w:tc>
          <w:tcPr>
            <w:tcW w:w="1611" w:type="dxa"/>
            <w:shd w:val="clear" w:color="auto" w:fill="D9D9D9" w:themeFill="background1" w:themeFillShade="D9"/>
          </w:tcPr>
          <w:p w14:paraId="45DA81DD" w14:textId="76DC6836" w:rsidR="00054B7B" w:rsidRPr="00616282" w:rsidRDefault="00054B7B"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799" w:type="dxa"/>
            <w:shd w:val="clear" w:color="auto" w:fill="D9D9D9" w:themeFill="background1" w:themeFillShade="D9"/>
          </w:tcPr>
          <w:p w14:paraId="6AB4CF94" w14:textId="77777777" w:rsidR="00054B7B" w:rsidRPr="00616282" w:rsidRDefault="00054B7B"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541" w:type="dxa"/>
            <w:vMerge/>
            <w:shd w:val="clear" w:color="auto" w:fill="D9D9D9" w:themeFill="background1" w:themeFillShade="D9"/>
          </w:tcPr>
          <w:p w14:paraId="358C47DE" w14:textId="3085008E" w:rsidR="00054B7B" w:rsidRPr="00616282" w:rsidRDefault="00054B7B" w:rsidP="00FB0DA0">
            <w:pPr>
              <w:jc w:val="center"/>
              <w:rPr>
                <w:rFonts w:ascii="Calibri" w:hAnsi="Calibri" w:cs="Calibri"/>
                <w:color w:val="4472C4" w:themeColor="accent1"/>
                <w:lang w:val="en-GB"/>
              </w:rPr>
            </w:pPr>
          </w:p>
        </w:tc>
      </w:tr>
      <w:tr w:rsidR="00634750" w:rsidRPr="004725EE" w14:paraId="0ADD6C04" w14:textId="77777777" w:rsidTr="00F31FB2">
        <w:tc>
          <w:tcPr>
            <w:tcW w:w="2065" w:type="dxa"/>
            <w:vMerge w:val="restart"/>
            <w:shd w:val="clear" w:color="auto" w:fill="FBE4D5" w:themeFill="accent2" w:themeFillTint="33"/>
          </w:tcPr>
          <w:p w14:paraId="2EBB61E0" w14:textId="77777777" w:rsidR="00634750" w:rsidRPr="00616282" w:rsidRDefault="00634750" w:rsidP="00773AE9">
            <w:pPr>
              <w:rPr>
                <w:rFonts w:ascii="Calibri" w:hAnsi="Calibri" w:cs="Calibri"/>
                <w:b/>
                <w:bCs/>
                <w:color w:val="4472C4" w:themeColor="accent1"/>
                <w:lang w:val="en-GB"/>
              </w:rPr>
            </w:pPr>
          </w:p>
          <w:p w14:paraId="4175B0E7" w14:textId="19C0EB7B" w:rsidR="00634750" w:rsidRPr="00616282" w:rsidRDefault="00634750"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3.3.2 Formulation</w:t>
            </w:r>
          </w:p>
          <w:p w14:paraId="1333955D" w14:textId="77777777" w:rsidR="00634750" w:rsidRPr="00616282" w:rsidRDefault="00634750" w:rsidP="00773AE9">
            <w:pPr>
              <w:rPr>
                <w:rFonts w:ascii="Calibri" w:hAnsi="Calibri" w:cs="Calibri"/>
                <w:b/>
                <w:bCs/>
                <w:color w:val="4472C4" w:themeColor="accent1"/>
                <w:lang w:val="en-GB"/>
              </w:rPr>
            </w:pPr>
          </w:p>
          <w:p w14:paraId="67873638" w14:textId="573983F4" w:rsidR="00634750" w:rsidRPr="00616282" w:rsidRDefault="00634750"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3.3.3 Implementation</w:t>
            </w:r>
          </w:p>
        </w:tc>
        <w:tc>
          <w:tcPr>
            <w:tcW w:w="1611" w:type="dxa"/>
          </w:tcPr>
          <w:p w14:paraId="4937EC84" w14:textId="2DB87BDF"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Climate-related risks and opportunities</w:t>
            </w:r>
          </w:p>
        </w:tc>
        <w:tc>
          <w:tcPr>
            <w:tcW w:w="2799" w:type="dxa"/>
          </w:tcPr>
          <w:p w14:paraId="01796C8F" w14:textId="5A9D6F93" w:rsidR="00634750" w:rsidRPr="00616282" w:rsidRDefault="00634750" w:rsidP="00CB4FD6">
            <w:pPr>
              <w:rPr>
                <w:rFonts w:ascii="Calibri" w:hAnsi="Calibri" w:cs="Calibri"/>
                <w:lang w:val="en-GB"/>
              </w:rPr>
            </w:pPr>
            <w:r w:rsidRPr="00616282">
              <w:rPr>
                <w:rFonts w:ascii="Calibri" w:hAnsi="Calibri" w:cs="Calibri"/>
                <w:lang w:val="en-GB"/>
              </w:rPr>
              <w:t xml:space="preserve">Explanation of the effects of physical and transition climate-related risks and opportunities that could reasonably be expected to affect the entity’s prospects over the short, </w:t>
            </w:r>
            <w:r w:rsidR="00DD4F7B" w:rsidRPr="00616282">
              <w:rPr>
                <w:rFonts w:ascii="Calibri" w:hAnsi="Calibri" w:cs="Calibri"/>
                <w:lang w:val="en-GB"/>
              </w:rPr>
              <w:t>medium,</w:t>
            </w:r>
            <w:r w:rsidRPr="00616282">
              <w:rPr>
                <w:rFonts w:ascii="Calibri" w:hAnsi="Calibri" w:cs="Calibri"/>
                <w:lang w:val="en-GB"/>
              </w:rPr>
              <w:t xml:space="preserve"> or long term, and its linkage planning and strategic decision-making.</w:t>
            </w:r>
          </w:p>
        </w:tc>
        <w:tc>
          <w:tcPr>
            <w:tcW w:w="2541" w:type="dxa"/>
            <w:vMerge w:val="restart"/>
          </w:tcPr>
          <w:p w14:paraId="533A195F" w14:textId="77777777" w:rsidR="004F4139" w:rsidRPr="00616282" w:rsidRDefault="00634750" w:rsidP="00CB4FD6">
            <w:pPr>
              <w:pStyle w:val="NormalWeb"/>
              <w:rPr>
                <w:rFonts w:ascii="Calibri" w:hAnsi="Calibri" w:cs="Calibri"/>
                <w:lang w:val="en-GB" w:eastAsia="en-GB"/>
              </w:rPr>
            </w:pPr>
            <w:r w:rsidRPr="00616282">
              <w:rPr>
                <w:rFonts w:ascii="Calibri" w:hAnsi="Calibri" w:cs="Calibri"/>
                <w:b/>
                <w:bCs/>
                <w:lang w:val="en-GB" w:eastAsia="en-GB"/>
              </w:rPr>
              <w:t>Principle 1:</w:t>
            </w:r>
            <w:r w:rsidRPr="00616282">
              <w:rPr>
                <w:rFonts w:ascii="Calibri" w:hAnsi="Calibri" w:cs="Calibri"/>
                <w:lang w:val="en-GB" w:eastAsia="en-GB"/>
              </w:rPr>
              <w:t xml:space="preserve"> Banks should develop and implement a sound process for understanding and assessing the potential impacts of climate-related risk drivers on their businesses and on the environments in which they operate. </w:t>
            </w:r>
          </w:p>
          <w:p w14:paraId="664478DB" w14:textId="5809F7A2" w:rsidR="00634750" w:rsidRPr="00616282" w:rsidRDefault="00634750" w:rsidP="00CB4FD6">
            <w:pPr>
              <w:pStyle w:val="NormalWeb"/>
              <w:rPr>
                <w:rFonts w:ascii="Calibri" w:hAnsi="Calibri" w:cs="Calibri"/>
                <w:lang w:val="en-GB" w:eastAsia="en-GB"/>
              </w:rPr>
            </w:pPr>
            <w:r w:rsidRPr="00616282">
              <w:rPr>
                <w:rFonts w:ascii="Calibri" w:hAnsi="Calibri" w:cs="Calibri"/>
                <w:lang w:val="en-GB" w:eastAsia="en-GB"/>
              </w:rPr>
              <w:t xml:space="preserve">Banks should consider material climate-related financial risks that could materialise over various time </w:t>
            </w:r>
            <w:proofErr w:type="gramStart"/>
            <w:r w:rsidRPr="00616282">
              <w:rPr>
                <w:rFonts w:ascii="Calibri" w:hAnsi="Calibri" w:cs="Calibri"/>
                <w:lang w:val="en-GB" w:eastAsia="en-GB"/>
              </w:rPr>
              <w:t>horizons</w:t>
            </w:r>
            <w:r w:rsidR="00773AE9">
              <w:rPr>
                <w:rFonts w:ascii="Calibri" w:hAnsi="Calibri" w:cs="Calibri"/>
                <w:lang w:val="en-GB" w:eastAsia="en-GB"/>
              </w:rPr>
              <w:t>,</w:t>
            </w:r>
            <w:r w:rsidRPr="00616282">
              <w:rPr>
                <w:rFonts w:ascii="Calibri" w:hAnsi="Calibri" w:cs="Calibri"/>
                <w:lang w:val="en-GB" w:eastAsia="en-GB"/>
              </w:rPr>
              <w:t xml:space="preserve"> and</w:t>
            </w:r>
            <w:proofErr w:type="gramEnd"/>
            <w:r w:rsidRPr="00616282">
              <w:rPr>
                <w:rFonts w:ascii="Calibri" w:hAnsi="Calibri" w:cs="Calibri"/>
                <w:lang w:val="en-GB" w:eastAsia="en-GB"/>
              </w:rPr>
              <w:t xml:space="preserve"> incorporate these risks into their overall business strategies and risk management frameworks.</w:t>
            </w:r>
          </w:p>
          <w:p w14:paraId="66028CB8" w14:textId="20D69046" w:rsidR="00634750" w:rsidRPr="00616282" w:rsidRDefault="00634750" w:rsidP="00CB4FD6">
            <w:pPr>
              <w:rPr>
                <w:rFonts w:ascii="Calibri" w:hAnsi="Calibri" w:cs="Calibri"/>
                <w:lang w:val="en-GB"/>
              </w:rPr>
            </w:pPr>
          </w:p>
        </w:tc>
      </w:tr>
      <w:tr w:rsidR="00634750" w:rsidRPr="004725EE" w14:paraId="020850E6" w14:textId="77777777" w:rsidTr="00F31FB2">
        <w:tc>
          <w:tcPr>
            <w:tcW w:w="2065" w:type="dxa"/>
            <w:vMerge/>
            <w:shd w:val="clear" w:color="auto" w:fill="FBE4D5" w:themeFill="accent2" w:themeFillTint="33"/>
          </w:tcPr>
          <w:p w14:paraId="6B85864E" w14:textId="6351EEDA" w:rsidR="00634750" w:rsidRPr="00616282" w:rsidRDefault="00634750" w:rsidP="00773AE9">
            <w:pPr>
              <w:rPr>
                <w:rFonts w:ascii="Calibri" w:hAnsi="Calibri" w:cs="Calibri"/>
                <w:b/>
                <w:bCs/>
                <w:color w:val="003299"/>
                <w:lang w:val="en-GB"/>
              </w:rPr>
            </w:pPr>
          </w:p>
        </w:tc>
        <w:tc>
          <w:tcPr>
            <w:tcW w:w="1611" w:type="dxa"/>
          </w:tcPr>
          <w:p w14:paraId="7C7E48A8" w14:textId="1974EE75"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Business model and value chain</w:t>
            </w:r>
          </w:p>
        </w:tc>
        <w:tc>
          <w:tcPr>
            <w:tcW w:w="2799" w:type="dxa"/>
          </w:tcPr>
          <w:p w14:paraId="13B64BA5" w14:textId="64CE3763" w:rsidR="00634750" w:rsidRPr="00616282" w:rsidRDefault="00634750" w:rsidP="00CB4FD6">
            <w:pPr>
              <w:rPr>
                <w:rFonts w:ascii="Calibri" w:hAnsi="Calibri" w:cs="Calibri"/>
                <w:lang w:val="en-GB"/>
              </w:rPr>
            </w:pPr>
            <w:r w:rsidRPr="00616282">
              <w:rPr>
                <w:rFonts w:ascii="Calibri" w:hAnsi="Calibri" w:cs="Calibri"/>
                <w:lang w:val="en-GB"/>
              </w:rPr>
              <w:t xml:space="preserve">Description of the current and anticipated effects of climate-related risks and opportunities on the bank’s business model and value chain, with a level of granularity to assess sector, segment, financial </w:t>
            </w:r>
            <w:r w:rsidR="0014377D" w:rsidRPr="00616282">
              <w:rPr>
                <w:rFonts w:ascii="Calibri" w:hAnsi="Calibri" w:cs="Calibri"/>
                <w:lang w:val="en-GB"/>
              </w:rPr>
              <w:t>product,</w:t>
            </w:r>
            <w:r w:rsidRPr="00616282">
              <w:rPr>
                <w:rFonts w:ascii="Calibri" w:hAnsi="Calibri" w:cs="Calibri"/>
                <w:lang w:val="en-GB"/>
              </w:rPr>
              <w:t xml:space="preserve"> and geographical concentration.</w:t>
            </w:r>
          </w:p>
        </w:tc>
        <w:tc>
          <w:tcPr>
            <w:tcW w:w="2541" w:type="dxa"/>
            <w:vMerge/>
          </w:tcPr>
          <w:p w14:paraId="2CDBA9A8" w14:textId="670FDAA9" w:rsidR="00634750" w:rsidRPr="00616282" w:rsidRDefault="00634750" w:rsidP="00CB4FD6">
            <w:pPr>
              <w:rPr>
                <w:rFonts w:ascii="Calibri" w:hAnsi="Calibri" w:cs="Calibri"/>
                <w:lang w:val="en-GB"/>
              </w:rPr>
            </w:pPr>
          </w:p>
        </w:tc>
      </w:tr>
      <w:tr w:rsidR="00634750" w:rsidRPr="004725EE" w14:paraId="4D947C91" w14:textId="77777777" w:rsidTr="00F31FB2">
        <w:tc>
          <w:tcPr>
            <w:tcW w:w="2065" w:type="dxa"/>
            <w:vMerge/>
            <w:shd w:val="clear" w:color="auto" w:fill="FBE4D5" w:themeFill="accent2" w:themeFillTint="33"/>
          </w:tcPr>
          <w:p w14:paraId="14144A3E" w14:textId="59451050" w:rsidR="00634750" w:rsidRPr="00616282" w:rsidRDefault="00634750" w:rsidP="00773AE9">
            <w:pPr>
              <w:rPr>
                <w:rFonts w:ascii="Calibri" w:hAnsi="Calibri" w:cs="Calibri"/>
                <w:b/>
                <w:bCs/>
                <w:color w:val="003299"/>
                <w:lang w:val="en-GB"/>
              </w:rPr>
            </w:pPr>
          </w:p>
        </w:tc>
        <w:tc>
          <w:tcPr>
            <w:tcW w:w="1611" w:type="dxa"/>
          </w:tcPr>
          <w:p w14:paraId="6970F953" w14:textId="49CED522"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Strategy and decision</w:t>
            </w:r>
            <w:r w:rsidRPr="00616282">
              <w:rPr>
                <w:rFonts w:ascii="Calibri" w:hAnsi="Calibri" w:cs="Calibri"/>
                <w:b/>
                <w:color w:val="4472C4" w:themeColor="accent1"/>
                <w:lang w:val="en-GB"/>
              </w:rPr>
              <w:t xml:space="preserve"> </w:t>
            </w:r>
            <w:r w:rsidRPr="00616282">
              <w:rPr>
                <w:rFonts w:ascii="Calibri" w:hAnsi="Calibri" w:cs="Calibri"/>
                <w:b/>
                <w:bCs/>
                <w:color w:val="4472C4" w:themeColor="accent1"/>
                <w:lang w:val="en-GB"/>
              </w:rPr>
              <w:t>-</w:t>
            </w:r>
            <w:r w:rsidRPr="00616282">
              <w:rPr>
                <w:rFonts w:ascii="Calibri" w:hAnsi="Calibri" w:cs="Calibri"/>
                <w:b/>
                <w:color w:val="4472C4" w:themeColor="accent1"/>
                <w:lang w:val="en-GB"/>
              </w:rPr>
              <w:t xml:space="preserve"> </w:t>
            </w:r>
            <w:r w:rsidRPr="00616282">
              <w:rPr>
                <w:rFonts w:ascii="Calibri" w:hAnsi="Calibri" w:cs="Calibri"/>
                <w:b/>
                <w:bCs/>
                <w:color w:val="4472C4" w:themeColor="accent1"/>
                <w:lang w:val="en-GB"/>
              </w:rPr>
              <w:t>making</w:t>
            </w:r>
          </w:p>
        </w:tc>
        <w:tc>
          <w:tcPr>
            <w:tcW w:w="2799" w:type="dxa"/>
          </w:tcPr>
          <w:p w14:paraId="2E19DCF7" w14:textId="04951201" w:rsidR="00634750" w:rsidRPr="00616282" w:rsidRDefault="00634750" w:rsidP="00CB4FD6">
            <w:pPr>
              <w:rPr>
                <w:rFonts w:ascii="Calibri" w:hAnsi="Calibri" w:cs="Calibri"/>
                <w:lang w:val="en-GB"/>
              </w:rPr>
            </w:pPr>
            <w:r w:rsidRPr="00616282">
              <w:rPr>
                <w:rFonts w:ascii="Calibri" w:hAnsi="Calibri" w:cs="Calibri"/>
                <w:lang w:val="en-GB"/>
              </w:rPr>
              <w:t xml:space="preserve">Description of how the bank is planning to address climate-related risks and opportunities in its strategy and decision-making, including target setting and monitoring, climate regulation compliance, business model changes, resource allocation, mitigation and adaptation efforts, and transition plans. </w:t>
            </w:r>
          </w:p>
        </w:tc>
        <w:tc>
          <w:tcPr>
            <w:tcW w:w="2541" w:type="dxa"/>
            <w:vMerge/>
          </w:tcPr>
          <w:p w14:paraId="313EB437" w14:textId="3C037136" w:rsidR="00634750" w:rsidRPr="00616282" w:rsidRDefault="00634750" w:rsidP="00CB4FD6">
            <w:pPr>
              <w:rPr>
                <w:rFonts w:ascii="Calibri" w:hAnsi="Calibri" w:cs="Calibri"/>
                <w:lang w:val="en-GB"/>
              </w:rPr>
            </w:pPr>
          </w:p>
        </w:tc>
      </w:tr>
      <w:tr w:rsidR="0083069C" w:rsidRPr="004725EE" w14:paraId="097B6B7D" w14:textId="77777777" w:rsidTr="00F31FB2">
        <w:tc>
          <w:tcPr>
            <w:tcW w:w="2065" w:type="dxa"/>
            <w:vMerge/>
            <w:shd w:val="clear" w:color="auto" w:fill="FBE4D5" w:themeFill="accent2" w:themeFillTint="33"/>
          </w:tcPr>
          <w:p w14:paraId="547BB7AB" w14:textId="498FB536" w:rsidR="005550C0" w:rsidRPr="00616282" w:rsidRDefault="005550C0" w:rsidP="00773AE9">
            <w:pPr>
              <w:rPr>
                <w:rFonts w:ascii="Calibri" w:hAnsi="Calibri" w:cs="Calibri"/>
                <w:b/>
                <w:bCs/>
                <w:color w:val="003299"/>
                <w:lang w:val="en-GB"/>
              </w:rPr>
            </w:pPr>
          </w:p>
        </w:tc>
        <w:tc>
          <w:tcPr>
            <w:tcW w:w="1611" w:type="dxa"/>
          </w:tcPr>
          <w:p w14:paraId="2941F1AA" w14:textId="001CB6F7" w:rsidR="005550C0" w:rsidRPr="00616282" w:rsidRDefault="005550C0" w:rsidP="00CB4FD6">
            <w:pPr>
              <w:rPr>
                <w:rFonts w:ascii="Calibri" w:hAnsi="Calibri" w:cs="Calibri"/>
                <w:color w:val="4472C4" w:themeColor="accent1"/>
                <w:lang w:val="en-GB"/>
              </w:rPr>
            </w:pPr>
            <w:r w:rsidRPr="00616282">
              <w:rPr>
                <w:rFonts w:ascii="Calibri" w:hAnsi="Calibri" w:cs="Calibri"/>
                <w:b/>
                <w:bCs/>
                <w:color w:val="4472C4" w:themeColor="accent1"/>
                <w:lang w:val="en-GB"/>
              </w:rPr>
              <w:t xml:space="preserve">Financial position, financial </w:t>
            </w:r>
            <w:r w:rsidR="0014377D" w:rsidRPr="00616282">
              <w:rPr>
                <w:rFonts w:ascii="Calibri" w:hAnsi="Calibri" w:cs="Calibri"/>
                <w:b/>
                <w:color w:val="4472C4" w:themeColor="accent1"/>
                <w:lang w:val="en-GB"/>
              </w:rPr>
              <w:t>p</w:t>
            </w:r>
            <w:r w:rsidR="0014377D" w:rsidRPr="00616282">
              <w:rPr>
                <w:rFonts w:ascii="Calibri" w:hAnsi="Calibri" w:cs="Calibri"/>
                <w:b/>
                <w:bCs/>
                <w:color w:val="4472C4" w:themeColor="accent1"/>
                <w:lang w:val="en-GB"/>
              </w:rPr>
              <w:t>erformance,</w:t>
            </w:r>
            <w:r w:rsidRPr="00616282">
              <w:rPr>
                <w:rFonts w:ascii="Calibri" w:hAnsi="Calibri" w:cs="Calibri"/>
                <w:b/>
                <w:bCs/>
                <w:color w:val="4472C4" w:themeColor="accent1"/>
                <w:lang w:val="en-GB"/>
              </w:rPr>
              <w:t xml:space="preserve"> and cash flows</w:t>
            </w:r>
          </w:p>
        </w:tc>
        <w:tc>
          <w:tcPr>
            <w:tcW w:w="2799" w:type="dxa"/>
          </w:tcPr>
          <w:p w14:paraId="1CB16C15" w14:textId="68A3D953" w:rsidR="005550C0" w:rsidRPr="00616282" w:rsidRDefault="00C90D83" w:rsidP="00CB4FD6">
            <w:pPr>
              <w:rPr>
                <w:rFonts w:ascii="Calibri" w:hAnsi="Calibri" w:cs="Calibri"/>
                <w:lang w:val="en-GB"/>
              </w:rPr>
            </w:pPr>
            <w:r w:rsidRPr="00616282">
              <w:rPr>
                <w:rFonts w:ascii="Calibri" w:hAnsi="Calibri" w:cs="Calibri"/>
                <w:lang w:val="en-GB"/>
              </w:rPr>
              <w:t xml:space="preserve">Description of the effects of </w:t>
            </w:r>
            <w:r w:rsidR="002C20FC" w:rsidRPr="00616282">
              <w:rPr>
                <w:rFonts w:ascii="Calibri" w:hAnsi="Calibri" w:cs="Calibri"/>
                <w:lang w:val="en-GB"/>
              </w:rPr>
              <w:t>c</w:t>
            </w:r>
            <w:r w:rsidRPr="00616282">
              <w:rPr>
                <w:rFonts w:ascii="Calibri" w:hAnsi="Calibri" w:cs="Calibri"/>
                <w:lang w:val="en-GB"/>
              </w:rPr>
              <w:t>limate-related risks and</w:t>
            </w:r>
            <w:r w:rsidR="002C20FC" w:rsidRPr="00616282">
              <w:rPr>
                <w:rFonts w:ascii="Calibri" w:hAnsi="Calibri" w:cs="Calibri"/>
                <w:lang w:val="en-GB"/>
              </w:rPr>
              <w:t xml:space="preserve"> </w:t>
            </w:r>
            <w:r w:rsidRPr="00616282">
              <w:rPr>
                <w:rFonts w:ascii="Calibri" w:hAnsi="Calibri" w:cs="Calibri"/>
                <w:lang w:val="en-GB"/>
              </w:rPr>
              <w:t>opportunities on the current</w:t>
            </w:r>
            <w:r w:rsidR="002C20FC" w:rsidRPr="00616282">
              <w:rPr>
                <w:rFonts w:ascii="Calibri" w:hAnsi="Calibri" w:cs="Calibri"/>
                <w:lang w:val="en-GB"/>
              </w:rPr>
              <w:t xml:space="preserve"> </w:t>
            </w:r>
            <w:r w:rsidRPr="00616282">
              <w:rPr>
                <w:rFonts w:ascii="Calibri" w:hAnsi="Calibri" w:cs="Calibri"/>
                <w:lang w:val="en-GB"/>
              </w:rPr>
              <w:t>and anticipated financial</w:t>
            </w:r>
            <w:r w:rsidR="002C20FC" w:rsidRPr="00616282">
              <w:rPr>
                <w:rFonts w:ascii="Calibri" w:hAnsi="Calibri" w:cs="Calibri"/>
                <w:lang w:val="en-GB"/>
              </w:rPr>
              <w:t xml:space="preserve"> </w:t>
            </w:r>
            <w:r w:rsidRPr="00616282">
              <w:rPr>
                <w:rFonts w:ascii="Calibri" w:hAnsi="Calibri" w:cs="Calibri"/>
                <w:lang w:val="en-GB"/>
              </w:rPr>
              <w:t xml:space="preserve">performance and cash flows </w:t>
            </w:r>
            <w:r w:rsidR="001E7701" w:rsidRPr="00616282">
              <w:rPr>
                <w:rFonts w:ascii="Calibri" w:hAnsi="Calibri" w:cs="Calibri"/>
                <w:lang w:val="en-GB"/>
              </w:rPr>
              <w:t xml:space="preserve">over the short, </w:t>
            </w:r>
            <w:r w:rsidR="0014377D" w:rsidRPr="00616282">
              <w:rPr>
                <w:rFonts w:ascii="Calibri" w:hAnsi="Calibri" w:cs="Calibri"/>
                <w:lang w:val="en-GB"/>
              </w:rPr>
              <w:t>medium,</w:t>
            </w:r>
            <w:r w:rsidR="001E7701" w:rsidRPr="00616282">
              <w:rPr>
                <w:rFonts w:ascii="Calibri" w:hAnsi="Calibri" w:cs="Calibri"/>
                <w:lang w:val="en-GB"/>
              </w:rPr>
              <w:t xml:space="preserve"> and long term</w:t>
            </w:r>
            <w:r w:rsidR="002C20FC" w:rsidRPr="00616282">
              <w:rPr>
                <w:rFonts w:ascii="Calibri" w:hAnsi="Calibri" w:cs="Calibri"/>
                <w:lang w:val="en-GB"/>
              </w:rPr>
              <w:t>.</w:t>
            </w:r>
          </w:p>
          <w:p w14:paraId="61E0D8BA" w14:textId="02C9848C" w:rsidR="00776C6F" w:rsidRPr="00616282" w:rsidRDefault="00776C6F" w:rsidP="00CB4FD6">
            <w:pPr>
              <w:rPr>
                <w:rFonts w:ascii="Calibri" w:hAnsi="Calibri" w:cs="Calibri"/>
                <w:lang w:val="en-GB"/>
              </w:rPr>
            </w:pPr>
          </w:p>
        </w:tc>
        <w:tc>
          <w:tcPr>
            <w:tcW w:w="2541" w:type="dxa"/>
          </w:tcPr>
          <w:p w14:paraId="09E74CD6" w14:textId="6D3A9713" w:rsidR="005550C0" w:rsidRPr="00616282" w:rsidRDefault="00035776" w:rsidP="00CB4FD6">
            <w:pPr>
              <w:rPr>
                <w:rFonts w:ascii="Calibri" w:hAnsi="Calibri" w:cs="Calibri"/>
                <w:lang w:val="en-GB"/>
              </w:rPr>
            </w:pPr>
            <w:r w:rsidRPr="00616282">
              <w:rPr>
                <w:rFonts w:ascii="Calibri" w:hAnsi="Calibri" w:cs="Calibri"/>
                <w:b/>
                <w:bCs/>
                <w:lang w:val="en-GB"/>
              </w:rPr>
              <w:t>Principle 5:</w:t>
            </w:r>
            <w:r w:rsidRPr="00616282">
              <w:rPr>
                <w:rFonts w:ascii="Calibri" w:hAnsi="Calibri" w:cs="Calibri"/>
                <w:lang w:val="en-GB"/>
              </w:rPr>
              <w:t xml:space="preserve"> Banks should identify and quantify climate-related financial risks and incorporate those assessed as material over relevant time horizons into their </w:t>
            </w:r>
            <w:r w:rsidRPr="00616282">
              <w:rPr>
                <w:rFonts w:ascii="Calibri" w:hAnsi="Calibri" w:cs="Calibri"/>
                <w:lang w:val="en-GB"/>
              </w:rPr>
              <w:lastRenderedPageBreak/>
              <w:t>internal capital and liquidity adequacy assessment processes, including their stress testing programmes where appropriate.</w:t>
            </w:r>
          </w:p>
        </w:tc>
      </w:tr>
      <w:tr w:rsidR="0083069C" w:rsidRPr="004725EE" w14:paraId="4AC3FAF5" w14:textId="77777777" w:rsidTr="00F31FB2">
        <w:tc>
          <w:tcPr>
            <w:tcW w:w="2065" w:type="dxa"/>
            <w:vMerge/>
            <w:shd w:val="clear" w:color="auto" w:fill="FBE4D5" w:themeFill="accent2" w:themeFillTint="33"/>
          </w:tcPr>
          <w:p w14:paraId="5ED7414C" w14:textId="2927C4E4" w:rsidR="005550C0" w:rsidRPr="00616282" w:rsidRDefault="005550C0" w:rsidP="00773AE9">
            <w:pPr>
              <w:rPr>
                <w:rFonts w:ascii="Calibri" w:hAnsi="Calibri" w:cs="Calibri"/>
                <w:b/>
                <w:bCs/>
                <w:color w:val="003299"/>
                <w:lang w:val="en-GB"/>
              </w:rPr>
            </w:pPr>
          </w:p>
        </w:tc>
        <w:tc>
          <w:tcPr>
            <w:tcW w:w="1611" w:type="dxa"/>
          </w:tcPr>
          <w:p w14:paraId="02F0E4DE" w14:textId="7B2FC041" w:rsidR="005550C0" w:rsidRPr="00616282" w:rsidRDefault="005550C0" w:rsidP="00773AE9">
            <w:pPr>
              <w:rPr>
                <w:rFonts w:ascii="Calibri" w:hAnsi="Calibri" w:cs="Calibri"/>
                <w:color w:val="4472C4" w:themeColor="accent1"/>
                <w:lang w:val="en-GB"/>
              </w:rPr>
            </w:pPr>
            <w:r w:rsidRPr="00616282">
              <w:rPr>
                <w:rFonts w:ascii="Calibri" w:hAnsi="Calibri" w:cs="Calibri"/>
                <w:b/>
                <w:bCs/>
                <w:color w:val="4472C4" w:themeColor="accent1"/>
                <w:lang w:val="en-GB"/>
              </w:rPr>
              <w:t>Climate resilience</w:t>
            </w:r>
          </w:p>
        </w:tc>
        <w:tc>
          <w:tcPr>
            <w:tcW w:w="2799" w:type="dxa"/>
          </w:tcPr>
          <w:p w14:paraId="61D34153" w14:textId="6351581C" w:rsidR="005550C0" w:rsidRPr="00616282" w:rsidRDefault="002C20FC" w:rsidP="00CB4FD6">
            <w:pPr>
              <w:rPr>
                <w:rFonts w:ascii="Calibri" w:hAnsi="Calibri" w:cs="Calibri"/>
                <w:lang w:val="en-GB"/>
              </w:rPr>
            </w:pPr>
            <w:r w:rsidRPr="00616282">
              <w:rPr>
                <w:rFonts w:ascii="Calibri" w:hAnsi="Calibri" w:cs="Calibri"/>
                <w:lang w:val="en-GB"/>
              </w:rPr>
              <w:t>Provi</w:t>
            </w:r>
            <w:r w:rsidR="00951AA1" w:rsidRPr="00616282">
              <w:rPr>
                <w:rFonts w:ascii="Calibri" w:hAnsi="Calibri" w:cs="Calibri"/>
                <w:lang w:val="en-GB"/>
              </w:rPr>
              <w:t>sion of</w:t>
            </w:r>
            <w:r w:rsidRPr="00616282">
              <w:rPr>
                <w:rFonts w:ascii="Calibri" w:hAnsi="Calibri" w:cs="Calibri"/>
                <w:lang w:val="en-GB"/>
              </w:rPr>
              <w:t xml:space="preserve"> information to understand the resilience of the bank’s strategy and business model </w:t>
            </w:r>
            <w:r w:rsidR="00C948BD" w:rsidRPr="00616282">
              <w:rPr>
                <w:rFonts w:ascii="Calibri" w:hAnsi="Calibri" w:cs="Calibri"/>
                <w:lang w:val="en-GB"/>
              </w:rPr>
              <w:t>considering climate-related risks and opportunitie</w:t>
            </w:r>
            <w:r w:rsidR="007F0673" w:rsidRPr="00616282">
              <w:rPr>
                <w:rFonts w:ascii="Calibri" w:hAnsi="Calibri" w:cs="Calibri"/>
                <w:lang w:val="en-GB"/>
              </w:rPr>
              <w:t>s</w:t>
            </w:r>
            <w:r w:rsidRPr="00616282">
              <w:rPr>
                <w:rFonts w:ascii="Calibri" w:hAnsi="Calibri" w:cs="Calibri"/>
                <w:lang w:val="en-GB"/>
              </w:rPr>
              <w:t xml:space="preserve">, </w:t>
            </w:r>
            <w:r w:rsidR="00C948BD" w:rsidRPr="00616282">
              <w:rPr>
                <w:rFonts w:ascii="Calibri" w:hAnsi="Calibri" w:cs="Calibri"/>
                <w:lang w:val="en-GB"/>
              </w:rPr>
              <w:t xml:space="preserve">paired with </w:t>
            </w:r>
            <w:r w:rsidRPr="00616282">
              <w:rPr>
                <w:rFonts w:ascii="Calibri" w:hAnsi="Calibri" w:cs="Calibri"/>
                <w:lang w:val="en-GB"/>
              </w:rPr>
              <w:t>climate-related scenario analysis</w:t>
            </w:r>
            <w:r w:rsidR="00C948BD" w:rsidRPr="00616282">
              <w:rPr>
                <w:rFonts w:ascii="Calibri" w:hAnsi="Calibri" w:cs="Calibri"/>
                <w:lang w:val="en-GB"/>
              </w:rPr>
              <w:t>.</w:t>
            </w:r>
          </w:p>
          <w:p w14:paraId="6E88CD78" w14:textId="0AE6A140" w:rsidR="00776C6F" w:rsidRPr="00616282" w:rsidRDefault="00776C6F" w:rsidP="00CB4FD6">
            <w:pPr>
              <w:rPr>
                <w:rFonts w:ascii="Calibri" w:hAnsi="Calibri" w:cs="Calibri"/>
                <w:lang w:val="en-GB"/>
              </w:rPr>
            </w:pPr>
          </w:p>
        </w:tc>
        <w:tc>
          <w:tcPr>
            <w:tcW w:w="2541" w:type="dxa"/>
          </w:tcPr>
          <w:p w14:paraId="113F76F9" w14:textId="1FEC0D97" w:rsidR="005550C0" w:rsidRPr="00616282" w:rsidRDefault="00634750" w:rsidP="00CB4FD6">
            <w:pPr>
              <w:pStyle w:val="NormalWeb"/>
              <w:rPr>
                <w:rFonts w:ascii="Calibri" w:hAnsi="Calibri" w:cs="Calibri"/>
                <w:lang w:val="en-GB"/>
              </w:rPr>
            </w:pPr>
            <w:r w:rsidRPr="00616282">
              <w:rPr>
                <w:rFonts w:ascii="Calibri" w:hAnsi="Calibri" w:cs="Calibri"/>
                <w:b/>
                <w:lang w:val="en-GB"/>
              </w:rPr>
              <w:t>Principle 12</w:t>
            </w:r>
            <w:r w:rsidRPr="00616282">
              <w:rPr>
                <w:rFonts w:ascii="Calibri" w:hAnsi="Calibri" w:cs="Calibri"/>
                <w:lang w:val="en-GB"/>
              </w:rPr>
              <w:t>: Where appropriate, banks should make use of scenario analysis to assess the resilience of their business models and strategies to a range of plausible climate-related pathways and determine the impact of climate-related risk drivers on their overall risk profile. These analyses should consider physical and transition risks as drivers of credit, market, operational and liquidity risks over a range of relevant time horizons.</w:t>
            </w:r>
          </w:p>
        </w:tc>
      </w:tr>
    </w:tbl>
    <w:p w14:paraId="55A5FB9E" w14:textId="77777777" w:rsidR="005C24D1" w:rsidRPr="00616282" w:rsidRDefault="005C24D1" w:rsidP="00FB0DA0">
      <w:pPr>
        <w:outlineLvl w:val="0"/>
        <w:rPr>
          <w:rFonts w:ascii="Calibri" w:hAnsi="Calibri" w:cs="Calibri"/>
          <w:b/>
          <w:bCs/>
          <w:color w:val="ED7D31" w:themeColor="accent2"/>
          <w:lang w:val="en-GB"/>
        </w:rPr>
      </w:pPr>
    </w:p>
    <w:p w14:paraId="05E4029E" w14:textId="271C96E4" w:rsidR="00256117" w:rsidRPr="00616282" w:rsidRDefault="00256117" w:rsidP="00256117">
      <w:pPr>
        <w:jc w:val="both"/>
        <w:rPr>
          <w:rFonts w:ascii="Calibri" w:hAnsi="Calibri" w:cs="Calibri"/>
          <w:lang w:val="en-GB"/>
        </w:rPr>
      </w:pPr>
      <w:r w:rsidRPr="00616282">
        <w:rPr>
          <w:rFonts w:ascii="Calibri" w:hAnsi="Calibri" w:cs="Calibri"/>
          <w:lang w:val="en-GB"/>
        </w:rPr>
        <w:t>The Reporting Template includes a questionnaire on strategic considerations of climate-related issues accordingly.</w:t>
      </w:r>
    </w:p>
    <w:p w14:paraId="4825873D" w14:textId="77777777" w:rsidR="00952A92" w:rsidRPr="00616282" w:rsidRDefault="00952A92" w:rsidP="00616282">
      <w:pPr>
        <w:outlineLvl w:val="0"/>
        <w:rPr>
          <w:rFonts w:ascii="Calibri" w:hAnsi="Calibri" w:cs="Calibri"/>
          <w:b/>
          <w:bCs/>
          <w:color w:val="ED7D31" w:themeColor="accent2"/>
          <w:lang w:val="en-GB"/>
        </w:rPr>
      </w:pPr>
    </w:p>
    <w:p w14:paraId="62C20327" w14:textId="744B5C43" w:rsidR="00952A92" w:rsidRPr="00616282" w:rsidRDefault="00952A92" w:rsidP="00616282">
      <w:pPr>
        <w:rPr>
          <w:rFonts w:ascii="Calibri" w:hAnsi="Calibri" w:cs="Calibri"/>
          <w:b/>
          <w:bCs/>
          <w:color w:val="ED7D31" w:themeColor="accent2"/>
          <w:lang w:val="en-GB"/>
        </w:rPr>
      </w:pPr>
      <w:bookmarkStart w:id="53" w:name="_Toc171908205"/>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Qualitative questionnaire on business strategy</w:t>
      </w:r>
      <w:bookmarkEnd w:id="53"/>
    </w:p>
    <w:p w14:paraId="539778DA" w14:textId="6E32874D" w:rsidR="00256117" w:rsidRPr="00616282" w:rsidRDefault="00256117" w:rsidP="00616282">
      <w:pPr>
        <w:rPr>
          <w:rFonts w:ascii="Calibri" w:hAnsi="Calibri" w:cs="Calibri"/>
        </w:rPr>
      </w:pPr>
    </w:p>
    <w:p w14:paraId="004FBB89" w14:textId="0D02217F" w:rsidR="00FA5425" w:rsidRPr="00616282" w:rsidRDefault="00FA5425" w:rsidP="00616282">
      <w:pPr>
        <w:rPr>
          <w:rFonts w:ascii="Calibri" w:hAnsi="Calibri" w:cs="Calibri"/>
        </w:rPr>
      </w:pPr>
      <w:r w:rsidRPr="00616282">
        <w:rPr>
          <w:rFonts w:ascii="Calibri" w:hAnsi="Calibri" w:cs="Calibri"/>
          <w:noProof/>
        </w:rPr>
        <w:drawing>
          <wp:inline distT="0" distB="0" distL="0" distR="0" wp14:anchorId="25CBB40B" wp14:editId="78B9E070">
            <wp:extent cx="5731510" cy="930910"/>
            <wp:effectExtent l="0" t="0" r="0" b="0"/>
            <wp:docPr id="3146975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97506" name=""/>
                    <pic:cNvPicPr/>
                  </pic:nvPicPr>
                  <pic:blipFill>
                    <a:blip r:embed="rId23"/>
                    <a:stretch>
                      <a:fillRect/>
                    </a:stretch>
                  </pic:blipFill>
                  <pic:spPr>
                    <a:xfrm>
                      <a:off x="0" y="0"/>
                      <a:ext cx="5731510" cy="930910"/>
                    </a:xfrm>
                    <a:prstGeom prst="rect">
                      <a:avLst/>
                    </a:prstGeom>
                  </pic:spPr>
                </pic:pic>
              </a:graphicData>
            </a:graphic>
          </wp:inline>
        </w:drawing>
      </w:r>
    </w:p>
    <w:p w14:paraId="1BEB95A3" w14:textId="3F8AE2DC"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03EFD772" w14:textId="77777777" w:rsidR="00FA5425" w:rsidRPr="00616282" w:rsidRDefault="00FA5425" w:rsidP="00616282">
      <w:pPr>
        <w:rPr>
          <w:rFonts w:ascii="Calibri" w:hAnsi="Calibri" w:cs="Calibri"/>
          <w:lang w:val="en-GB"/>
        </w:rPr>
      </w:pPr>
    </w:p>
    <w:p w14:paraId="5DF945B7" w14:textId="77777777" w:rsidR="00157082" w:rsidRDefault="00157082">
      <w:pPr>
        <w:rPr>
          <w:rFonts w:ascii="Calibri" w:eastAsiaTheme="majorEastAsia" w:hAnsi="Calibri" w:cs="Calibri"/>
          <w:color w:val="1F3763" w:themeColor="accent1" w:themeShade="7F"/>
          <w:szCs w:val="28"/>
          <w:lang w:val="en-GB"/>
        </w:rPr>
      </w:pPr>
      <w:bookmarkStart w:id="54" w:name="_Toc167079296"/>
      <w:bookmarkStart w:id="55" w:name="_Toc167079486"/>
      <w:bookmarkStart w:id="56" w:name="_Toc171908186"/>
      <w:r>
        <w:rPr>
          <w:rFonts w:ascii="Calibri" w:hAnsi="Calibri" w:cs="Calibri"/>
          <w:szCs w:val="28"/>
          <w:lang w:val="en-GB"/>
        </w:rPr>
        <w:br w:type="page"/>
      </w:r>
    </w:p>
    <w:p w14:paraId="38F55588" w14:textId="7E354DDE" w:rsidR="001015AB" w:rsidRPr="00616282" w:rsidRDefault="008244BE" w:rsidP="00B720D9">
      <w:pPr>
        <w:pStyle w:val="Heading3"/>
        <w:rPr>
          <w:rFonts w:ascii="Calibri" w:hAnsi="Calibri" w:cs="Calibri"/>
          <w:sz w:val="24"/>
          <w:szCs w:val="28"/>
          <w:lang w:val="en-GB"/>
        </w:rPr>
      </w:pPr>
      <w:r w:rsidRPr="00616282">
        <w:rPr>
          <w:rFonts w:ascii="Calibri" w:hAnsi="Calibri" w:cs="Calibri"/>
          <w:sz w:val="24"/>
          <w:szCs w:val="28"/>
          <w:lang w:val="en-GB"/>
        </w:rPr>
        <w:lastRenderedPageBreak/>
        <w:t xml:space="preserve">Best practice </w:t>
      </w:r>
      <w:r w:rsidR="00E87C8D" w:rsidRPr="00616282">
        <w:rPr>
          <w:rFonts w:ascii="Calibri" w:hAnsi="Calibri" w:cs="Calibri"/>
          <w:sz w:val="24"/>
          <w:szCs w:val="28"/>
          <w:lang w:val="en-GB"/>
        </w:rPr>
        <w:t>on strategy</w:t>
      </w:r>
      <w:bookmarkEnd w:id="54"/>
      <w:bookmarkEnd w:id="55"/>
      <w:bookmarkEnd w:id="56"/>
    </w:p>
    <w:p w14:paraId="4AA463AB" w14:textId="77777777" w:rsidR="00B44809" w:rsidRPr="00616282" w:rsidRDefault="00B44809" w:rsidP="003D7AF8">
      <w:pPr>
        <w:rPr>
          <w:rFonts w:ascii="Calibri" w:hAnsi="Calibri" w:cs="Calibri"/>
          <w:lang w:val="en-GB"/>
        </w:rPr>
      </w:pPr>
    </w:p>
    <w:p w14:paraId="291E9DE2" w14:textId="4E2DEFF5" w:rsidR="00B44809" w:rsidRPr="00616282" w:rsidRDefault="00B44809" w:rsidP="00B44809">
      <w:pPr>
        <w:jc w:val="both"/>
        <w:rPr>
          <w:rFonts w:ascii="Calibri" w:hAnsi="Calibri" w:cs="Calibri"/>
        </w:rPr>
      </w:pPr>
      <w:r w:rsidRPr="00616282">
        <w:rPr>
          <w:rFonts w:ascii="Calibri" w:hAnsi="Calibri" w:cs="Calibri"/>
        </w:rPr>
        <w:t xml:space="preserve">The following graph illustrates a series of steps that banks should undertake to effectively integrate climate risk and opportunities into the business strategy. Integration of climate risks into the business strategy depends on the material risks drivers identified, as well as the </w:t>
      </w:r>
      <w:r w:rsidR="00F31FB2">
        <w:rPr>
          <w:rFonts w:ascii="Calibri" w:hAnsi="Calibri" w:cs="Calibri"/>
        </w:rPr>
        <w:t xml:space="preserve">bank’s </w:t>
      </w:r>
      <w:r w:rsidRPr="00616282">
        <w:rPr>
          <w:rFonts w:ascii="Calibri" w:hAnsi="Calibri" w:cs="Calibri"/>
        </w:rPr>
        <w:t>capacities assembling transition plan, products and services, as a combination of strategic approaches and steering tools to translate their exposure</w:t>
      </w:r>
      <w:r w:rsidR="00490C39" w:rsidRPr="00616282">
        <w:rPr>
          <w:rFonts w:ascii="Calibri" w:hAnsi="Calibri" w:cs="Calibri"/>
        </w:rPr>
        <w:t>s</w:t>
      </w:r>
      <w:r w:rsidRPr="00616282">
        <w:rPr>
          <w:rFonts w:ascii="Calibri" w:hAnsi="Calibri" w:cs="Calibri"/>
        </w:rPr>
        <w:t xml:space="preserve"> </w:t>
      </w:r>
      <w:r w:rsidR="00490C39" w:rsidRPr="00616282">
        <w:rPr>
          <w:rFonts w:ascii="Calibri" w:hAnsi="Calibri" w:cs="Calibri"/>
        </w:rPr>
        <w:t>against</w:t>
      </w:r>
      <w:r w:rsidRPr="00616282">
        <w:rPr>
          <w:rFonts w:ascii="Calibri" w:hAnsi="Calibri" w:cs="Calibri"/>
        </w:rPr>
        <w:t xml:space="preserve"> transition and physical risks</w:t>
      </w:r>
      <w:r w:rsidR="00490C39" w:rsidRPr="00616282">
        <w:rPr>
          <w:rFonts w:ascii="Calibri" w:hAnsi="Calibri" w:cs="Calibri"/>
        </w:rPr>
        <w:t xml:space="preserve"> into growth opportunities</w:t>
      </w:r>
      <w:r w:rsidRPr="00616282">
        <w:rPr>
          <w:rFonts w:ascii="Calibri" w:hAnsi="Calibri" w:cs="Calibri"/>
        </w:rPr>
        <w:t xml:space="preserve">. </w:t>
      </w:r>
    </w:p>
    <w:p w14:paraId="169BB70E" w14:textId="77777777" w:rsidR="00B44809" w:rsidRPr="00616282" w:rsidRDefault="00B44809" w:rsidP="00B44809">
      <w:pPr>
        <w:jc w:val="both"/>
        <w:rPr>
          <w:rFonts w:ascii="Calibri" w:hAnsi="Calibri" w:cs="Calibri"/>
          <w:i/>
          <w:iCs/>
          <w:lang w:val="en-GB"/>
        </w:rPr>
      </w:pPr>
    </w:p>
    <w:p w14:paraId="6ECA574B" w14:textId="031245D6" w:rsidR="00B44809" w:rsidRDefault="00B44809" w:rsidP="00616282">
      <w:pPr>
        <w:rPr>
          <w:rFonts w:ascii="Calibri" w:hAnsi="Calibri" w:cs="Calibri"/>
          <w:b/>
          <w:bCs/>
          <w:color w:val="ED7D31" w:themeColor="accent2"/>
          <w:lang w:val="en-GB"/>
        </w:rPr>
      </w:pPr>
      <w:bookmarkStart w:id="57" w:name="_Toc175223819"/>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4</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Good practices for integrating climate risk into the business strategy</w:t>
      </w:r>
      <w:bookmarkEnd w:id="57"/>
    </w:p>
    <w:p w14:paraId="27AD7179" w14:textId="77777777" w:rsidR="00157082" w:rsidRPr="00616282" w:rsidRDefault="00157082" w:rsidP="00616282">
      <w:pPr>
        <w:rPr>
          <w:rFonts w:ascii="Calibri" w:hAnsi="Calibri" w:cs="Calibri"/>
          <w:b/>
          <w:bCs/>
          <w:color w:val="ED7D31" w:themeColor="accent2"/>
          <w:lang w:val="en-GB"/>
        </w:rPr>
      </w:pPr>
    </w:p>
    <w:p w14:paraId="6383D5D3" w14:textId="6B90F401" w:rsidR="00B44809" w:rsidRPr="00616282" w:rsidRDefault="00FA5C15" w:rsidP="00B44809">
      <w:pPr>
        <w:jc w:val="cente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C888CE8" wp14:editId="1B7E4CE6">
            <wp:extent cx="4873554" cy="3511810"/>
            <wp:effectExtent l="0" t="0" r="3810" b="0"/>
            <wp:docPr id="1024668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6881" name=""/>
                    <pic:cNvPicPr/>
                  </pic:nvPicPr>
                  <pic:blipFill>
                    <a:blip r:embed="rId24"/>
                    <a:stretch>
                      <a:fillRect/>
                    </a:stretch>
                  </pic:blipFill>
                  <pic:spPr>
                    <a:xfrm>
                      <a:off x="0" y="0"/>
                      <a:ext cx="4883509" cy="3518984"/>
                    </a:xfrm>
                    <a:prstGeom prst="rect">
                      <a:avLst/>
                    </a:prstGeom>
                  </pic:spPr>
                </pic:pic>
              </a:graphicData>
            </a:graphic>
          </wp:inline>
        </w:drawing>
      </w:r>
    </w:p>
    <w:p w14:paraId="53AEE9FA" w14:textId="7D31A50D" w:rsidR="00B44809" w:rsidRPr="00616282" w:rsidRDefault="00A74BD5" w:rsidP="00B44809">
      <w:pPr>
        <w:jc w:val="both"/>
        <w:rPr>
          <w:rFonts w:ascii="Calibri" w:hAnsi="Calibri" w:cs="Calibri"/>
        </w:rPr>
      </w:pPr>
      <w:r w:rsidRPr="00616282">
        <w:rPr>
          <w:rFonts w:ascii="Calibri" w:hAnsi="Calibri" w:cs="Calibri"/>
          <w:b/>
          <w:bCs/>
        </w:rPr>
        <w:t>Source</w:t>
      </w:r>
      <w:r w:rsidRPr="00616282">
        <w:rPr>
          <w:rFonts w:ascii="Calibri" w:hAnsi="Calibri" w:cs="Calibri"/>
        </w:rPr>
        <w:t>: GFANZ, 2023</w:t>
      </w:r>
    </w:p>
    <w:p w14:paraId="09941439" w14:textId="77777777" w:rsidR="00A74BD5" w:rsidRPr="00616282" w:rsidRDefault="00A74BD5" w:rsidP="00B44809">
      <w:pPr>
        <w:jc w:val="both"/>
        <w:rPr>
          <w:rFonts w:ascii="Calibri" w:hAnsi="Calibri" w:cs="Calibri"/>
        </w:rPr>
      </w:pPr>
    </w:p>
    <w:p w14:paraId="5984DA6A" w14:textId="73D5C9DB" w:rsidR="003D7AF8" w:rsidRPr="00616282" w:rsidRDefault="00F07E6A" w:rsidP="00616282">
      <w:pPr>
        <w:jc w:val="both"/>
        <w:rPr>
          <w:rFonts w:ascii="Calibri" w:hAnsi="Calibri" w:cs="Calibri"/>
          <w:lang w:val="en-GB"/>
        </w:rPr>
      </w:pPr>
      <w:r w:rsidRPr="00616282">
        <w:rPr>
          <w:rFonts w:ascii="Calibri" w:hAnsi="Calibri" w:cs="Calibri"/>
          <w:lang w:val="en-GB"/>
        </w:rPr>
        <w:t xml:space="preserve">Banks should start </w:t>
      </w:r>
      <w:r w:rsidR="00F31FB2">
        <w:rPr>
          <w:rFonts w:ascii="Calibri" w:hAnsi="Calibri" w:cs="Calibri"/>
          <w:lang w:val="en-GB"/>
        </w:rPr>
        <w:t>by</w:t>
      </w:r>
      <w:r w:rsidR="00F31FB2" w:rsidRPr="00616282">
        <w:rPr>
          <w:rFonts w:ascii="Calibri" w:hAnsi="Calibri" w:cs="Calibri"/>
          <w:lang w:val="en-GB"/>
        </w:rPr>
        <w:t xml:space="preserve"> </w:t>
      </w:r>
      <w:r w:rsidR="006A79AD" w:rsidRPr="00616282">
        <w:rPr>
          <w:rFonts w:ascii="Calibri" w:hAnsi="Calibri" w:cs="Calibri"/>
          <w:lang w:val="en-GB"/>
        </w:rPr>
        <w:t>identify</w:t>
      </w:r>
      <w:r w:rsidRPr="00616282">
        <w:rPr>
          <w:rFonts w:ascii="Calibri" w:hAnsi="Calibri" w:cs="Calibri"/>
          <w:lang w:val="en-GB"/>
        </w:rPr>
        <w:t>ing</w:t>
      </w:r>
      <w:r w:rsidR="006A79AD" w:rsidRPr="00616282">
        <w:rPr>
          <w:rFonts w:ascii="Calibri" w:hAnsi="Calibri" w:cs="Calibri"/>
          <w:lang w:val="en-GB"/>
        </w:rPr>
        <w:t xml:space="preserve"> physical and transition </w:t>
      </w:r>
      <w:r w:rsidR="004E1A87" w:rsidRPr="00616282">
        <w:rPr>
          <w:rFonts w:ascii="Calibri" w:hAnsi="Calibri" w:cs="Calibri"/>
          <w:lang w:val="en-GB"/>
        </w:rPr>
        <w:t>climate</w:t>
      </w:r>
      <w:r w:rsidR="006A79AD" w:rsidRPr="00616282">
        <w:rPr>
          <w:rFonts w:ascii="Calibri" w:hAnsi="Calibri" w:cs="Calibri"/>
          <w:lang w:val="en-GB"/>
        </w:rPr>
        <w:t xml:space="preserve"> risks</w:t>
      </w:r>
      <w:r w:rsidR="004E1A87" w:rsidRPr="00616282">
        <w:rPr>
          <w:rFonts w:ascii="Calibri" w:hAnsi="Calibri" w:cs="Calibri"/>
          <w:lang w:val="en-GB"/>
        </w:rPr>
        <w:t xml:space="preserve">, </w:t>
      </w:r>
      <w:r w:rsidRPr="00616282">
        <w:rPr>
          <w:rFonts w:ascii="Calibri" w:hAnsi="Calibri" w:cs="Calibri"/>
          <w:lang w:val="en-GB"/>
        </w:rPr>
        <w:t>overlay</w:t>
      </w:r>
      <w:r w:rsidR="00F31FB2">
        <w:rPr>
          <w:rFonts w:ascii="Calibri" w:hAnsi="Calibri" w:cs="Calibri"/>
          <w:lang w:val="en-GB"/>
        </w:rPr>
        <w:t>ing</w:t>
      </w:r>
      <w:r w:rsidRPr="00616282">
        <w:rPr>
          <w:rFonts w:ascii="Calibri" w:hAnsi="Calibri" w:cs="Calibri"/>
          <w:lang w:val="en-GB"/>
        </w:rPr>
        <w:t xml:space="preserve"> them against the</w:t>
      </w:r>
      <w:r w:rsidR="004E1A87" w:rsidRPr="00616282">
        <w:rPr>
          <w:rFonts w:ascii="Calibri" w:hAnsi="Calibri" w:cs="Calibri"/>
          <w:lang w:val="en-GB"/>
        </w:rPr>
        <w:t xml:space="preserve"> traditional enterprise risk framework</w:t>
      </w:r>
      <w:r w:rsidR="00F31FB2">
        <w:rPr>
          <w:rFonts w:ascii="Calibri" w:hAnsi="Calibri" w:cs="Calibri"/>
          <w:lang w:val="en-GB"/>
        </w:rPr>
        <w:t>,</w:t>
      </w:r>
      <w:r w:rsidR="004E1A87" w:rsidRPr="00616282">
        <w:rPr>
          <w:rFonts w:ascii="Calibri" w:hAnsi="Calibri" w:cs="Calibri"/>
          <w:lang w:val="en-GB"/>
        </w:rPr>
        <w:t xml:space="preserve"> and </w:t>
      </w:r>
      <w:r w:rsidRPr="00616282">
        <w:rPr>
          <w:rFonts w:ascii="Calibri" w:hAnsi="Calibri" w:cs="Calibri"/>
          <w:lang w:val="en-GB"/>
        </w:rPr>
        <w:t>assess</w:t>
      </w:r>
      <w:r w:rsidR="00F31FB2">
        <w:rPr>
          <w:rFonts w:ascii="Calibri" w:hAnsi="Calibri" w:cs="Calibri"/>
          <w:lang w:val="en-GB"/>
        </w:rPr>
        <w:t>ing</w:t>
      </w:r>
      <w:r w:rsidRPr="00616282">
        <w:rPr>
          <w:rFonts w:ascii="Calibri" w:hAnsi="Calibri" w:cs="Calibri"/>
          <w:lang w:val="en-GB"/>
        </w:rPr>
        <w:t xml:space="preserve"> </w:t>
      </w:r>
      <w:r w:rsidR="004E1A87" w:rsidRPr="00616282">
        <w:rPr>
          <w:rFonts w:ascii="Calibri" w:hAnsi="Calibri" w:cs="Calibri"/>
          <w:lang w:val="en-GB"/>
        </w:rPr>
        <w:t>how they can create opportunities</w:t>
      </w:r>
      <w:r w:rsidR="004F4139" w:rsidRPr="00616282">
        <w:rPr>
          <w:rFonts w:ascii="Calibri" w:hAnsi="Calibri" w:cs="Calibri"/>
          <w:lang w:val="en-GB"/>
        </w:rPr>
        <w:t>.</w:t>
      </w:r>
    </w:p>
    <w:p w14:paraId="5DDAFCD9" w14:textId="77777777" w:rsidR="00802B44" w:rsidRPr="00616282" w:rsidRDefault="00802B44" w:rsidP="003D7AF8">
      <w:pPr>
        <w:rPr>
          <w:rFonts w:ascii="Calibri" w:hAnsi="Calibri" w:cs="Calibri"/>
          <w:lang w:val="en-GB"/>
        </w:rPr>
      </w:pPr>
    </w:p>
    <w:p w14:paraId="7B12B84D" w14:textId="77777777" w:rsidR="00157082" w:rsidRDefault="00157082">
      <w:pPr>
        <w:rPr>
          <w:rFonts w:ascii="Calibri" w:hAnsi="Calibri" w:cs="Calibri"/>
          <w:b/>
          <w:bCs/>
          <w:color w:val="ED7D31" w:themeColor="accent2"/>
          <w:lang w:val="en-GB"/>
        </w:rPr>
      </w:pPr>
      <w:bookmarkStart w:id="58" w:name="_Toc171908206"/>
      <w:r>
        <w:rPr>
          <w:rFonts w:ascii="Calibri" w:hAnsi="Calibri" w:cs="Calibri"/>
          <w:b/>
          <w:bCs/>
          <w:color w:val="ED7D31" w:themeColor="accent2"/>
          <w:lang w:val="en-GB"/>
        </w:rPr>
        <w:br w:type="page"/>
      </w:r>
    </w:p>
    <w:p w14:paraId="49515532" w14:textId="6A12EA5D" w:rsidR="003D7AF8" w:rsidRPr="00616282" w:rsidRDefault="003D7AF8"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4F4139" w:rsidRPr="00616282">
        <w:rPr>
          <w:rFonts w:ascii="Calibri" w:hAnsi="Calibri" w:cs="Calibri"/>
          <w:b/>
          <w:bCs/>
          <w:color w:val="ED7D31" w:themeColor="accent2"/>
          <w:lang w:val="en-GB"/>
        </w:rPr>
        <w:t>Example of climate-driven financial risks and opportunities</w:t>
      </w:r>
      <w:bookmarkEnd w:id="58"/>
    </w:p>
    <w:p w14:paraId="3D715578" w14:textId="2DA3CE89" w:rsidR="003D7AF8" w:rsidRPr="00616282" w:rsidRDefault="00FA5C15" w:rsidP="0090701E">
      <w:pPr>
        <w:jc w:val="center"/>
        <w:rPr>
          <w:rFonts w:ascii="Calibri" w:hAnsi="Calibri" w:cs="Calibri"/>
          <w:lang w:val="en-GB"/>
        </w:rPr>
      </w:pPr>
      <w:r w:rsidRPr="00616282">
        <w:rPr>
          <w:rFonts w:ascii="Calibri" w:hAnsi="Calibri" w:cs="Calibri"/>
          <w:noProof/>
        </w:rPr>
        <w:drawing>
          <wp:inline distT="0" distB="0" distL="0" distR="0" wp14:anchorId="490BCA5F" wp14:editId="5A05DAB2">
            <wp:extent cx="5140574" cy="3476978"/>
            <wp:effectExtent l="0" t="0" r="3175" b="3175"/>
            <wp:docPr id="127089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89834" name=""/>
                    <pic:cNvPicPr/>
                  </pic:nvPicPr>
                  <pic:blipFill>
                    <a:blip r:embed="rId25"/>
                    <a:stretch>
                      <a:fillRect/>
                    </a:stretch>
                  </pic:blipFill>
                  <pic:spPr>
                    <a:xfrm>
                      <a:off x="0" y="0"/>
                      <a:ext cx="5152146" cy="3484805"/>
                    </a:xfrm>
                    <a:prstGeom prst="rect">
                      <a:avLst/>
                    </a:prstGeom>
                  </pic:spPr>
                </pic:pic>
              </a:graphicData>
            </a:graphic>
          </wp:inline>
        </w:drawing>
      </w:r>
    </w:p>
    <w:p w14:paraId="2DB4DB21" w14:textId="28721E69" w:rsidR="00F07E6A" w:rsidRPr="00616282" w:rsidRDefault="00F07E6A" w:rsidP="0046333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xml:space="preserve">: </w:t>
      </w:r>
      <w:r w:rsidR="00B7558A" w:rsidRPr="00B7558A">
        <w:rPr>
          <w:rFonts w:ascii="Calibri" w:hAnsi="Calibri" w:cs="Calibri"/>
          <w:sz w:val="20"/>
          <w:szCs w:val="20"/>
        </w:rPr>
        <w:t>Network for Greening the Financial System (</w:t>
      </w:r>
      <w:r w:rsidR="004F4139" w:rsidRPr="00616282">
        <w:rPr>
          <w:rFonts w:ascii="Calibri" w:hAnsi="Calibri" w:cs="Calibri"/>
          <w:sz w:val="20"/>
          <w:szCs w:val="20"/>
        </w:rPr>
        <w:t>NGFS</w:t>
      </w:r>
      <w:r w:rsidR="00B7558A">
        <w:rPr>
          <w:rFonts w:ascii="Calibri" w:hAnsi="Calibri" w:cs="Calibri"/>
          <w:sz w:val="20"/>
          <w:szCs w:val="20"/>
        </w:rPr>
        <w:t>)</w:t>
      </w:r>
      <w:r w:rsidR="004F4139" w:rsidRPr="00616282">
        <w:rPr>
          <w:rFonts w:ascii="Calibri" w:hAnsi="Calibri" w:cs="Calibri"/>
          <w:sz w:val="20"/>
          <w:szCs w:val="20"/>
        </w:rPr>
        <w:t xml:space="preserve"> (2020) Overview of Environmental Risk Analysis by FIs</w:t>
      </w:r>
      <w:r w:rsidR="00CB4FD6">
        <w:rPr>
          <w:rFonts w:ascii="Calibri" w:hAnsi="Calibri" w:cs="Calibri"/>
          <w:sz w:val="20"/>
          <w:szCs w:val="20"/>
        </w:rPr>
        <w:t>.</w:t>
      </w:r>
    </w:p>
    <w:p w14:paraId="5F632CF2" w14:textId="77777777" w:rsidR="004F4139" w:rsidRPr="00616282" w:rsidRDefault="004F4139" w:rsidP="0046333A">
      <w:pPr>
        <w:jc w:val="center"/>
        <w:rPr>
          <w:rFonts w:ascii="Calibri" w:hAnsi="Calibri" w:cs="Calibri"/>
        </w:rPr>
      </w:pPr>
    </w:p>
    <w:p w14:paraId="4A26EAEA" w14:textId="02BC5A91" w:rsidR="00D11522" w:rsidRPr="00616282" w:rsidRDefault="00FE1403" w:rsidP="00616282">
      <w:pPr>
        <w:jc w:val="both"/>
        <w:rPr>
          <w:rFonts w:ascii="Calibri" w:hAnsi="Calibri" w:cs="Calibri"/>
          <w:lang w:val="en-GB"/>
        </w:rPr>
      </w:pPr>
      <w:r w:rsidRPr="00616282">
        <w:rPr>
          <w:rFonts w:ascii="Calibri" w:hAnsi="Calibri" w:cs="Calibri"/>
          <w:lang w:val="en-GB"/>
        </w:rPr>
        <w:t xml:space="preserve">To effectively embed climate risks and opportunities into the business strategy, banks </w:t>
      </w:r>
      <w:r w:rsidR="00287E22" w:rsidRPr="00616282">
        <w:rPr>
          <w:rFonts w:ascii="Calibri" w:hAnsi="Calibri" w:cs="Calibri"/>
          <w:lang w:val="en-GB"/>
        </w:rPr>
        <w:t>should</w:t>
      </w:r>
      <w:r w:rsidRPr="00616282">
        <w:rPr>
          <w:rFonts w:ascii="Calibri" w:hAnsi="Calibri" w:cs="Calibri"/>
          <w:lang w:val="en-GB"/>
        </w:rPr>
        <w:t xml:space="preserve"> </w:t>
      </w:r>
      <w:r w:rsidRPr="00616282">
        <w:rPr>
          <w:rFonts w:ascii="Calibri" w:hAnsi="Calibri" w:cs="Calibri"/>
          <w:b/>
          <w:bCs/>
          <w:color w:val="4472C4" w:themeColor="accent1"/>
          <w:lang w:val="en-GB"/>
        </w:rPr>
        <w:t xml:space="preserve">begin with </w:t>
      </w:r>
      <w:r w:rsidR="00E737E2" w:rsidRPr="00616282">
        <w:rPr>
          <w:rFonts w:ascii="Calibri" w:hAnsi="Calibri" w:cs="Calibri"/>
          <w:b/>
          <w:bCs/>
          <w:color w:val="4472C4" w:themeColor="accent1"/>
          <w:lang w:val="en-GB"/>
        </w:rPr>
        <w:t xml:space="preserve">a </w:t>
      </w:r>
      <w:r w:rsidRPr="00616282">
        <w:rPr>
          <w:rFonts w:ascii="Calibri" w:hAnsi="Calibri" w:cs="Calibri"/>
          <w:b/>
          <w:bCs/>
          <w:color w:val="4472C4" w:themeColor="accent1"/>
          <w:lang w:val="en-GB"/>
        </w:rPr>
        <w:t>thorough climate risk materiality assessment to identify primary climate risk drivers</w:t>
      </w:r>
      <w:r w:rsidRPr="00616282">
        <w:rPr>
          <w:rFonts w:ascii="Calibri" w:hAnsi="Calibri" w:cs="Calibri"/>
          <w:color w:val="4472C4" w:themeColor="accent1"/>
          <w:lang w:val="en-GB"/>
        </w:rPr>
        <w:t xml:space="preserve"> </w:t>
      </w:r>
      <w:r w:rsidRPr="00616282">
        <w:rPr>
          <w:rFonts w:ascii="Calibri" w:hAnsi="Calibri" w:cs="Calibri"/>
          <w:lang w:val="en-GB"/>
        </w:rPr>
        <w:t>affecting their operations and to assess</w:t>
      </w:r>
      <w:r w:rsidR="00CA60BB" w:rsidRPr="00616282">
        <w:rPr>
          <w:rFonts w:ascii="Calibri" w:hAnsi="Calibri" w:cs="Calibri"/>
          <w:lang w:val="en-GB"/>
        </w:rPr>
        <w:t xml:space="preserve"> </w:t>
      </w:r>
      <w:r w:rsidRPr="00616282">
        <w:rPr>
          <w:rFonts w:ascii="Calibri" w:hAnsi="Calibri" w:cs="Calibri"/>
          <w:lang w:val="en-GB"/>
        </w:rPr>
        <w:t>exposure to them</w:t>
      </w:r>
      <w:r w:rsidR="00CB7548" w:rsidRPr="00616282">
        <w:rPr>
          <w:rFonts w:ascii="Calibri" w:hAnsi="Calibri" w:cs="Calibri"/>
          <w:lang w:val="en-GB"/>
        </w:rPr>
        <w:t xml:space="preserve">. </w:t>
      </w:r>
      <w:r w:rsidR="0064716C" w:rsidRPr="00616282">
        <w:rPr>
          <w:rFonts w:ascii="Calibri" w:hAnsi="Calibri" w:cs="Calibri"/>
          <w:lang w:val="en-GB"/>
        </w:rPr>
        <w:t xml:space="preserve">The following heatmap examples provide a </w:t>
      </w:r>
      <w:r w:rsidR="00E737E2" w:rsidRPr="00616282">
        <w:rPr>
          <w:rFonts w:ascii="Calibri" w:hAnsi="Calibri" w:cs="Calibri"/>
          <w:lang w:val="en-GB"/>
        </w:rPr>
        <w:t xml:space="preserve">visual </w:t>
      </w:r>
      <w:r w:rsidR="0064716C" w:rsidRPr="00616282">
        <w:rPr>
          <w:rFonts w:ascii="Calibri" w:hAnsi="Calibri" w:cs="Calibri"/>
          <w:lang w:val="en-GB"/>
        </w:rPr>
        <w:t>summar</w:t>
      </w:r>
      <w:r w:rsidR="00E737E2" w:rsidRPr="00616282">
        <w:rPr>
          <w:rFonts w:ascii="Calibri" w:hAnsi="Calibri" w:cs="Calibri"/>
          <w:lang w:val="en-GB"/>
        </w:rPr>
        <w:t xml:space="preserve">y of </w:t>
      </w:r>
      <w:r w:rsidR="00F31FB2">
        <w:rPr>
          <w:rFonts w:ascii="Calibri" w:hAnsi="Calibri" w:cs="Calibri"/>
          <w:lang w:val="en-GB"/>
        </w:rPr>
        <w:t>these</w:t>
      </w:r>
      <w:r w:rsidR="0064716C" w:rsidRPr="00616282">
        <w:rPr>
          <w:rFonts w:ascii="Calibri" w:hAnsi="Calibri" w:cs="Calibri"/>
          <w:lang w:val="en-GB"/>
        </w:rPr>
        <w:t xml:space="preserve"> physical and transition risks, according to </w:t>
      </w:r>
      <w:r w:rsidR="00F31FB2">
        <w:rPr>
          <w:rFonts w:ascii="Calibri" w:hAnsi="Calibri" w:cs="Calibri"/>
          <w:lang w:val="en-GB"/>
        </w:rPr>
        <w:t>their</w:t>
      </w:r>
      <w:r w:rsidR="0064716C" w:rsidRPr="00616282">
        <w:rPr>
          <w:rFonts w:ascii="Calibri" w:hAnsi="Calibri" w:cs="Calibri"/>
          <w:lang w:val="en-GB"/>
        </w:rPr>
        <w:t xml:space="preserve"> materiality on the business (Figure 3 and 4).</w:t>
      </w:r>
      <w:r w:rsidR="0013088E" w:rsidRPr="00616282">
        <w:rPr>
          <w:rFonts w:ascii="Calibri" w:hAnsi="Calibri" w:cs="Calibri"/>
          <w:lang w:val="en-GB"/>
        </w:rPr>
        <w:t xml:space="preserve"> </w:t>
      </w:r>
    </w:p>
    <w:p w14:paraId="49ABE778" w14:textId="77777777" w:rsidR="00D11522" w:rsidRPr="00616282" w:rsidRDefault="00D11522" w:rsidP="00FB0DA0">
      <w:pPr>
        <w:outlineLvl w:val="0"/>
        <w:rPr>
          <w:rFonts w:ascii="Calibri" w:hAnsi="Calibri" w:cs="Calibri"/>
          <w:lang w:val="en-GB"/>
        </w:rPr>
      </w:pPr>
    </w:p>
    <w:p w14:paraId="2B7123BA" w14:textId="0EEB0F5F" w:rsidR="00CB7548" w:rsidRPr="00616282" w:rsidRDefault="00CD5136" w:rsidP="00616282">
      <w:pPr>
        <w:jc w:val="both"/>
        <w:rPr>
          <w:rFonts w:ascii="Calibri" w:hAnsi="Calibri" w:cs="Calibri"/>
          <w:lang w:val="en-GB"/>
        </w:rPr>
      </w:pPr>
      <w:bookmarkStart w:id="59" w:name="_Toc167079297"/>
      <w:r w:rsidRPr="00616282">
        <w:rPr>
          <w:rFonts w:ascii="Calibri" w:hAnsi="Calibri" w:cs="Calibri"/>
          <w:lang w:val="en-GB"/>
        </w:rPr>
        <w:t>The m</w:t>
      </w:r>
      <w:r w:rsidR="00CB7548" w:rsidRPr="00616282">
        <w:rPr>
          <w:rFonts w:ascii="Calibri" w:hAnsi="Calibri" w:cs="Calibri"/>
          <w:lang w:val="en-GB"/>
        </w:rPr>
        <w:t>ateriality assessment will support banks in prioritizing certain sectors and applying different metrics and targets to steer their portfolios towards low-carbon pathways (e.g.</w:t>
      </w:r>
      <w:r w:rsidR="00F31FB2">
        <w:rPr>
          <w:rFonts w:ascii="Calibri" w:hAnsi="Calibri" w:cs="Calibri"/>
          <w:lang w:val="en-GB"/>
        </w:rPr>
        <w:t>,</w:t>
      </w:r>
      <w:r w:rsidR="00CB7548" w:rsidRPr="00616282">
        <w:rPr>
          <w:rFonts w:ascii="Calibri" w:hAnsi="Calibri" w:cs="Calibri"/>
          <w:lang w:val="en-GB"/>
        </w:rPr>
        <w:t xml:space="preserve"> </w:t>
      </w:r>
      <w:hyperlink r:id="rId26" w:history="1">
        <w:r w:rsidR="00CB7548" w:rsidRPr="00616282">
          <w:rPr>
            <w:rStyle w:val="Hyperlink"/>
            <w:rFonts w:ascii="Calibri" w:hAnsi="Calibri" w:cs="Calibri"/>
            <w:i/>
            <w:iCs/>
            <w:lang w:val="en-GB"/>
          </w:rPr>
          <w:t>Kenya’s Long-term Low Emission Development Strategy</w:t>
        </w:r>
      </w:hyperlink>
      <w:r w:rsidR="00391F02" w:rsidRPr="00616282">
        <w:rPr>
          <w:rFonts w:ascii="Calibri" w:hAnsi="Calibri" w:cs="Calibri"/>
          <w:lang w:val="en-GB"/>
        </w:rPr>
        <w:t>, LT-LEDS</w:t>
      </w:r>
      <w:r w:rsidR="00CB7548" w:rsidRPr="00616282">
        <w:rPr>
          <w:rFonts w:ascii="Calibri" w:hAnsi="Calibri" w:cs="Calibri"/>
          <w:lang w:val="en-GB"/>
        </w:rPr>
        <w:t>).</w:t>
      </w:r>
      <w:bookmarkEnd w:id="59"/>
    </w:p>
    <w:p w14:paraId="667D65A1" w14:textId="25683523" w:rsidR="00157082" w:rsidRDefault="00157082">
      <w:pPr>
        <w:rPr>
          <w:rFonts w:ascii="Calibri" w:hAnsi="Calibri" w:cs="Calibri"/>
          <w:lang w:val="en-GB"/>
        </w:rPr>
      </w:pPr>
      <w:r>
        <w:rPr>
          <w:rFonts w:ascii="Calibri" w:hAnsi="Calibri" w:cs="Calibri"/>
          <w:lang w:val="en-GB"/>
        </w:rPr>
        <w:br w:type="page"/>
      </w:r>
    </w:p>
    <w:p w14:paraId="29CB3E22" w14:textId="77777777" w:rsidR="002F4A8A" w:rsidRPr="00616282" w:rsidRDefault="002F4A8A" w:rsidP="00FB0DA0">
      <w:pPr>
        <w:outlineLvl w:val="0"/>
        <w:rPr>
          <w:rFonts w:ascii="Calibri" w:hAnsi="Calibri" w:cs="Calibri"/>
          <w:lang w:val="en-GB"/>
        </w:rPr>
      </w:pPr>
    </w:p>
    <w:tbl>
      <w:tblPr>
        <w:tblStyle w:val="TableGrid"/>
        <w:tblpPr w:leftFromText="180" w:rightFromText="180" w:vertAnchor="text" w:horzAnchor="margin" w:tblpY="1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8"/>
        <w:gridCol w:w="4508"/>
      </w:tblGrid>
      <w:tr w:rsidR="002F4A8A" w:rsidRPr="004725EE" w14:paraId="72572BB3" w14:textId="77777777" w:rsidTr="0061766C">
        <w:tc>
          <w:tcPr>
            <w:tcW w:w="4508" w:type="dxa"/>
          </w:tcPr>
          <w:p w14:paraId="7686FEC2" w14:textId="3B7D0463" w:rsidR="002F4A8A" w:rsidRPr="00616282" w:rsidRDefault="002F4A8A" w:rsidP="00616282">
            <w:pPr>
              <w:rPr>
                <w:rFonts w:ascii="Calibri" w:hAnsi="Calibri" w:cs="Calibri"/>
                <w:b/>
                <w:bCs/>
                <w:color w:val="ED7D31" w:themeColor="accent2"/>
                <w:lang w:val="en-GB"/>
              </w:rPr>
            </w:pPr>
            <w:bookmarkStart w:id="60" w:name="_Toc175223820"/>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5</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BBVA heatmap of transition and physical risks in the short, </w:t>
            </w:r>
            <w:r w:rsidR="0014377D" w:rsidRPr="00616282">
              <w:rPr>
                <w:rFonts w:ascii="Calibri" w:hAnsi="Calibri" w:cs="Calibri"/>
                <w:b/>
                <w:bCs/>
                <w:color w:val="ED7D31" w:themeColor="accent2"/>
                <w:lang w:val="en-GB"/>
              </w:rPr>
              <w:t>medium,</w:t>
            </w:r>
            <w:r w:rsidRPr="00616282">
              <w:rPr>
                <w:rFonts w:ascii="Calibri" w:hAnsi="Calibri" w:cs="Calibri"/>
                <w:b/>
                <w:bCs/>
                <w:color w:val="ED7D31" w:themeColor="accent2"/>
                <w:lang w:val="en-GB"/>
              </w:rPr>
              <w:t xml:space="preserve"> and long term</w:t>
            </w:r>
            <w:bookmarkEnd w:id="60"/>
          </w:p>
        </w:tc>
        <w:tc>
          <w:tcPr>
            <w:tcW w:w="4508" w:type="dxa"/>
          </w:tcPr>
          <w:p w14:paraId="33E85023" w14:textId="05D246BC" w:rsidR="002F4A8A" w:rsidRPr="00616282" w:rsidRDefault="002F4A8A" w:rsidP="00616282">
            <w:pPr>
              <w:rPr>
                <w:rFonts w:ascii="Calibri" w:hAnsi="Calibri" w:cs="Calibri"/>
                <w:b/>
                <w:bCs/>
                <w:color w:val="ED7D31" w:themeColor="accent2"/>
                <w:lang w:val="en-GB"/>
              </w:rPr>
            </w:pPr>
            <w:bookmarkStart w:id="61" w:name="_Toc175223821"/>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6</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Citi exposure and heatmap of transition and physical risks</w:t>
            </w:r>
            <w:bookmarkEnd w:id="61"/>
          </w:p>
        </w:tc>
      </w:tr>
      <w:tr w:rsidR="002F4A8A" w:rsidRPr="004725EE" w14:paraId="491F1EE4" w14:textId="77777777" w:rsidTr="0061766C">
        <w:tc>
          <w:tcPr>
            <w:tcW w:w="4508" w:type="dxa"/>
          </w:tcPr>
          <w:p w14:paraId="15345BD4" w14:textId="77777777" w:rsidR="002F4A8A" w:rsidRPr="00616282" w:rsidRDefault="002F4A8A" w:rsidP="002F4A8A">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762CB1D2" wp14:editId="2BAEC93D">
                  <wp:extent cx="2780150" cy="2542978"/>
                  <wp:effectExtent l="0" t="0" r="1270" b="0"/>
                  <wp:docPr id="1364335369" name="Picture 8"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335369" name="Picture 8" descr="A screenshot of a graph&#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19354" cy="2578837"/>
                          </a:xfrm>
                          <a:prstGeom prst="rect">
                            <a:avLst/>
                          </a:prstGeom>
                        </pic:spPr>
                      </pic:pic>
                    </a:graphicData>
                  </a:graphic>
                </wp:inline>
              </w:drawing>
            </w:r>
          </w:p>
        </w:tc>
        <w:tc>
          <w:tcPr>
            <w:tcW w:w="4508" w:type="dxa"/>
          </w:tcPr>
          <w:p w14:paraId="14B399C7" w14:textId="77777777" w:rsidR="002F4A8A" w:rsidRPr="00616282" w:rsidRDefault="002F4A8A" w:rsidP="002F4A8A">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6B6AFE0D" wp14:editId="02A13136">
                  <wp:extent cx="2725420" cy="2052320"/>
                  <wp:effectExtent l="0" t="0" r="5080" b="5080"/>
                  <wp:docPr id="1464225219" name="Picture 10"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225219" name="Picture 10" descr="A screenshot of a graph&#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25420" cy="2052320"/>
                          </a:xfrm>
                          <a:prstGeom prst="rect">
                            <a:avLst/>
                          </a:prstGeom>
                        </pic:spPr>
                      </pic:pic>
                    </a:graphicData>
                  </a:graphic>
                </wp:inline>
              </w:drawing>
            </w:r>
          </w:p>
        </w:tc>
      </w:tr>
      <w:tr w:rsidR="002F4A8A" w:rsidRPr="004725EE" w14:paraId="1276E49A" w14:textId="77777777" w:rsidTr="0061766C">
        <w:tc>
          <w:tcPr>
            <w:tcW w:w="4508" w:type="dxa"/>
          </w:tcPr>
          <w:p w14:paraId="49F0E220" w14:textId="77777777" w:rsidR="002F4A8A" w:rsidRPr="00616282" w:rsidRDefault="002F4A8A" w:rsidP="002F4A8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BBVA. 2022. TCFD Report.</w:t>
            </w:r>
          </w:p>
        </w:tc>
        <w:tc>
          <w:tcPr>
            <w:tcW w:w="4508" w:type="dxa"/>
          </w:tcPr>
          <w:p w14:paraId="391FC289" w14:textId="77777777" w:rsidR="002F4A8A" w:rsidRPr="00616282" w:rsidRDefault="002F4A8A" w:rsidP="002F4A8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Citi. 2022. TCFD Report.</w:t>
            </w:r>
          </w:p>
        </w:tc>
      </w:tr>
    </w:tbl>
    <w:p w14:paraId="6664A6EE" w14:textId="77777777" w:rsidR="00CB7548" w:rsidRPr="00616282" w:rsidRDefault="00CB7548" w:rsidP="00B720D9">
      <w:pPr>
        <w:rPr>
          <w:rFonts w:ascii="Calibri" w:hAnsi="Calibri" w:cs="Calibri"/>
          <w:lang w:val="en-GB"/>
        </w:rPr>
      </w:pPr>
    </w:p>
    <w:p w14:paraId="6A480A3F" w14:textId="02329058" w:rsidR="00E673ED" w:rsidRPr="00616282" w:rsidRDefault="00CD5136" w:rsidP="00616282">
      <w:pPr>
        <w:jc w:val="both"/>
        <w:rPr>
          <w:rFonts w:ascii="Calibri" w:hAnsi="Calibri" w:cs="Calibri"/>
          <w:lang w:val="en-GB"/>
        </w:rPr>
      </w:pPr>
      <w:bookmarkStart w:id="62" w:name="_Toc167079298"/>
      <w:bookmarkStart w:id="63" w:name="_Toc167079487"/>
      <w:r w:rsidRPr="00616282">
        <w:rPr>
          <w:rFonts w:ascii="Calibri" w:hAnsi="Calibri" w:cs="Calibri"/>
          <w:lang w:val="en-GB"/>
        </w:rPr>
        <w:t xml:space="preserve">The Framework Reporting Templates include a materiality assessment </w:t>
      </w:r>
      <w:r w:rsidR="00A84600" w:rsidRPr="00616282">
        <w:rPr>
          <w:rFonts w:ascii="Calibri" w:hAnsi="Calibri" w:cs="Calibri"/>
          <w:lang w:val="en-GB"/>
        </w:rPr>
        <w:t xml:space="preserve">table to assist banks in summarizing their analyses across credit exposures. There are drop down </w:t>
      </w:r>
      <w:r w:rsidR="00E673ED" w:rsidRPr="00616282">
        <w:rPr>
          <w:rFonts w:ascii="Calibri" w:hAnsi="Calibri" w:cs="Calibri"/>
          <w:lang w:val="en-GB"/>
        </w:rPr>
        <w:t>options for commonly selected risk drivers</w:t>
      </w:r>
      <w:r w:rsidR="00710411">
        <w:rPr>
          <w:rFonts w:ascii="Calibri" w:hAnsi="Calibri" w:cs="Calibri"/>
          <w:lang w:val="en-GB"/>
        </w:rPr>
        <w:t>, but</w:t>
      </w:r>
      <w:r w:rsidR="00E673ED" w:rsidRPr="00616282">
        <w:rPr>
          <w:rFonts w:ascii="Calibri" w:hAnsi="Calibri" w:cs="Calibri"/>
          <w:lang w:val="en-GB"/>
        </w:rPr>
        <w:t xml:space="preserve"> banks are free to select those which are unique to their own circumstances.</w:t>
      </w:r>
      <w:bookmarkEnd w:id="62"/>
      <w:bookmarkEnd w:id="63"/>
    </w:p>
    <w:p w14:paraId="59A547F0" w14:textId="77777777" w:rsidR="00E673ED" w:rsidRPr="00616282" w:rsidRDefault="00E673ED" w:rsidP="00B720D9">
      <w:pPr>
        <w:rPr>
          <w:rFonts w:ascii="Calibri" w:hAnsi="Calibri" w:cs="Calibri"/>
          <w:lang w:val="en-GB"/>
        </w:rPr>
      </w:pPr>
    </w:p>
    <w:p w14:paraId="30E3A6C3" w14:textId="6D137A61" w:rsidR="00886A02" w:rsidRPr="00616282" w:rsidRDefault="00886A02">
      <w:pPr>
        <w:rPr>
          <w:rFonts w:ascii="Calibri" w:hAnsi="Calibri" w:cs="Calibri"/>
          <w:b/>
          <w:bCs/>
          <w:color w:val="ED7D31" w:themeColor="accent2"/>
          <w:lang w:val="en-GB"/>
        </w:rPr>
      </w:pPr>
      <w:bookmarkStart w:id="64" w:name="_Toc171908207"/>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Climate related materiality assessment</w:t>
      </w:r>
      <w:bookmarkEnd w:id="64"/>
    </w:p>
    <w:p w14:paraId="52B5758C" w14:textId="77777777" w:rsidR="00FA5C15" w:rsidRPr="00616282" w:rsidRDefault="00FA5C15" w:rsidP="00616282">
      <w:pPr>
        <w:rPr>
          <w:rFonts w:ascii="Calibri" w:hAnsi="Calibri" w:cs="Calibri"/>
          <w:b/>
          <w:bCs/>
          <w:color w:val="ED7D31" w:themeColor="accent2"/>
          <w:lang w:val="en-GB"/>
        </w:rPr>
      </w:pPr>
    </w:p>
    <w:p w14:paraId="56609E28" w14:textId="39472688" w:rsidR="00CD5136" w:rsidRPr="00616282" w:rsidRDefault="00FA5C15" w:rsidP="00FA5C15">
      <w:pPr>
        <w:rPr>
          <w:rFonts w:ascii="Calibri" w:hAnsi="Calibri" w:cs="Calibri"/>
          <w:lang w:val="en-GB"/>
        </w:rPr>
      </w:pPr>
      <w:r w:rsidRPr="00616282">
        <w:rPr>
          <w:rFonts w:ascii="Calibri" w:hAnsi="Calibri" w:cs="Calibri"/>
          <w:noProof/>
          <w:lang w:val="en-GB"/>
          <w14:ligatures w14:val="standardContextual"/>
        </w:rPr>
        <w:drawing>
          <wp:inline distT="0" distB="0" distL="0" distR="0" wp14:anchorId="799DFB75" wp14:editId="0DC964DD">
            <wp:extent cx="5731510" cy="3032760"/>
            <wp:effectExtent l="0" t="0" r="0" b="2540"/>
            <wp:docPr id="419927275"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27275" name="Picture 2" descr="A screenshot of a computer screen&#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5731510" cy="3032760"/>
                    </a:xfrm>
                    <a:prstGeom prst="rect">
                      <a:avLst/>
                    </a:prstGeom>
                  </pic:spPr>
                </pic:pic>
              </a:graphicData>
            </a:graphic>
          </wp:inline>
        </w:drawing>
      </w:r>
    </w:p>
    <w:p w14:paraId="615CA295" w14:textId="3B46C265"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1C5124CB" w14:textId="77777777" w:rsidR="003B2AB0" w:rsidRPr="00616282" w:rsidRDefault="003B2AB0" w:rsidP="00FA5C15">
      <w:pPr>
        <w:rPr>
          <w:rFonts w:ascii="Calibri" w:hAnsi="Calibri" w:cs="Calibri"/>
          <w:lang w:val="en-GB"/>
        </w:rPr>
      </w:pPr>
    </w:p>
    <w:p w14:paraId="3DF5EABD" w14:textId="08862E6B" w:rsidR="00391F02" w:rsidRPr="00616282" w:rsidRDefault="00CB7548" w:rsidP="00616282">
      <w:pPr>
        <w:jc w:val="both"/>
        <w:rPr>
          <w:rFonts w:ascii="Calibri" w:hAnsi="Calibri" w:cs="Calibri"/>
          <w:lang w:val="en-GB"/>
        </w:rPr>
      </w:pPr>
      <w:bookmarkStart w:id="65" w:name="_Toc167079300"/>
      <w:bookmarkStart w:id="66" w:name="_Toc167079489"/>
      <w:r w:rsidRPr="00616282">
        <w:rPr>
          <w:rFonts w:ascii="Calibri" w:hAnsi="Calibri" w:cs="Calibri"/>
          <w:lang w:val="en-GB"/>
        </w:rPr>
        <w:t xml:space="preserve">Once </w:t>
      </w:r>
      <w:r w:rsidR="00886A02" w:rsidRPr="00616282">
        <w:rPr>
          <w:rFonts w:ascii="Calibri" w:hAnsi="Calibri" w:cs="Calibri"/>
          <w:lang w:val="en-GB"/>
        </w:rPr>
        <w:t xml:space="preserve">the </w:t>
      </w:r>
      <w:r w:rsidRPr="00616282">
        <w:rPr>
          <w:rFonts w:ascii="Calibri" w:hAnsi="Calibri" w:cs="Calibri"/>
          <w:lang w:val="en-GB"/>
        </w:rPr>
        <w:t>materiality assessment is</w:t>
      </w:r>
      <w:r w:rsidR="00886A02" w:rsidRPr="00616282">
        <w:rPr>
          <w:rFonts w:ascii="Calibri" w:hAnsi="Calibri" w:cs="Calibri"/>
          <w:lang w:val="en-GB"/>
        </w:rPr>
        <w:t xml:space="preserve"> completed</w:t>
      </w:r>
      <w:r w:rsidRPr="00616282">
        <w:rPr>
          <w:rFonts w:ascii="Calibri" w:hAnsi="Calibri" w:cs="Calibri"/>
          <w:lang w:val="en-GB"/>
        </w:rPr>
        <w:t xml:space="preserve">, banks </w:t>
      </w:r>
      <w:r w:rsidR="00674B29" w:rsidRPr="00616282">
        <w:rPr>
          <w:rFonts w:ascii="Calibri" w:hAnsi="Calibri" w:cs="Calibri"/>
          <w:lang w:val="en-GB"/>
        </w:rPr>
        <w:t>should</w:t>
      </w:r>
      <w:r w:rsidRPr="00616282">
        <w:rPr>
          <w:rFonts w:ascii="Calibri" w:hAnsi="Calibri" w:cs="Calibri"/>
          <w:lang w:val="en-GB"/>
        </w:rPr>
        <w:t xml:space="preserve"> </w:t>
      </w:r>
      <w:r w:rsidR="000F0BE7" w:rsidRPr="00616282">
        <w:rPr>
          <w:rFonts w:ascii="Calibri" w:hAnsi="Calibri" w:cs="Calibri"/>
          <w:b/>
          <w:bCs/>
          <w:color w:val="4472C4" w:themeColor="accent1"/>
          <w:lang w:val="en-GB"/>
        </w:rPr>
        <w:t>estimate their financed emissions in material sectors</w:t>
      </w:r>
      <w:r w:rsidR="008069DF" w:rsidRPr="00616282">
        <w:rPr>
          <w:rFonts w:ascii="Calibri" w:hAnsi="Calibri" w:cs="Calibri"/>
          <w:lang w:val="en-GB"/>
        </w:rPr>
        <w:t xml:space="preserve">. An industry leading </w:t>
      </w:r>
      <w:r w:rsidR="000F0BE7" w:rsidRPr="00616282">
        <w:rPr>
          <w:rFonts w:ascii="Calibri" w:hAnsi="Calibri" w:cs="Calibri"/>
          <w:lang w:val="en-GB"/>
        </w:rPr>
        <w:t>approach is the</w:t>
      </w:r>
      <w:r w:rsidR="00674B29" w:rsidRPr="00616282">
        <w:rPr>
          <w:rFonts w:ascii="Calibri" w:hAnsi="Calibri" w:cs="Calibri"/>
          <w:lang w:val="en-GB"/>
        </w:rPr>
        <w:t xml:space="preserve"> </w:t>
      </w:r>
      <w:hyperlink r:id="rId30" w:history="1">
        <w:r w:rsidR="00674B29" w:rsidRPr="00616282">
          <w:rPr>
            <w:rFonts w:ascii="Calibri" w:hAnsi="Calibri" w:cs="Calibri"/>
            <w:i/>
            <w:iCs/>
            <w:color w:val="4472C4" w:themeColor="accent1"/>
            <w:u w:val="single"/>
            <w:lang w:val="en-GB"/>
          </w:rPr>
          <w:t xml:space="preserve">Partnership for Carbon Accounting </w:t>
        </w:r>
        <w:r w:rsidR="00391F02" w:rsidRPr="00616282">
          <w:rPr>
            <w:rFonts w:ascii="Calibri" w:hAnsi="Calibri" w:cs="Calibri"/>
            <w:i/>
            <w:iCs/>
            <w:color w:val="4472C4" w:themeColor="accent1"/>
            <w:u w:val="single"/>
            <w:lang w:val="en-GB"/>
          </w:rPr>
          <w:t>Financials</w:t>
        </w:r>
      </w:hyperlink>
      <w:r w:rsidR="00391F02" w:rsidRPr="00616282">
        <w:rPr>
          <w:rFonts w:ascii="Calibri" w:hAnsi="Calibri" w:cs="Calibri"/>
          <w:i/>
          <w:iCs/>
          <w:color w:val="4472C4" w:themeColor="accent1"/>
          <w:lang w:val="en-GB"/>
        </w:rPr>
        <w:t xml:space="preserve"> </w:t>
      </w:r>
      <w:r w:rsidR="00391F02" w:rsidRPr="00616282">
        <w:rPr>
          <w:rFonts w:ascii="Calibri" w:hAnsi="Calibri" w:cs="Calibri"/>
          <w:lang w:val="en-GB"/>
        </w:rPr>
        <w:t>(PCAF) methodology</w:t>
      </w:r>
      <w:r w:rsidR="000F0BE7" w:rsidRPr="00616282">
        <w:rPr>
          <w:rFonts w:ascii="Calibri" w:hAnsi="Calibri" w:cs="Calibri"/>
          <w:lang w:val="en-GB"/>
        </w:rPr>
        <w:t>.</w:t>
      </w:r>
      <w:r w:rsidR="00391F02" w:rsidRPr="00616282">
        <w:rPr>
          <w:rFonts w:ascii="Calibri" w:hAnsi="Calibri" w:cs="Calibri"/>
          <w:lang w:val="en-GB"/>
        </w:rPr>
        <w:t xml:space="preserve"> </w:t>
      </w:r>
      <w:r w:rsidR="000F0BE7" w:rsidRPr="00616282">
        <w:rPr>
          <w:rFonts w:ascii="Calibri" w:hAnsi="Calibri" w:cs="Calibri"/>
          <w:lang w:val="en-GB"/>
        </w:rPr>
        <w:t>The emissions</w:t>
      </w:r>
      <w:r w:rsidR="00391F02" w:rsidRPr="00616282">
        <w:rPr>
          <w:rFonts w:ascii="Calibri" w:hAnsi="Calibri" w:cs="Calibri"/>
          <w:lang w:val="en-GB"/>
        </w:rPr>
        <w:t xml:space="preserve"> </w:t>
      </w:r>
      <w:r w:rsidR="003D6058" w:rsidRPr="00616282">
        <w:rPr>
          <w:rFonts w:ascii="Calibri" w:hAnsi="Calibri" w:cs="Calibri"/>
          <w:lang w:val="en-GB"/>
        </w:rPr>
        <w:t xml:space="preserve">profile of counterparties and bank portfolios can then be </w:t>
      </w:r>
      <w:r w:rsidR="003D6058" w:rsidRPr="00616282">
        <w:rPr>
          <w:rFonts w:ascii="Calibri" w:hAnsi="Calibri" w:cs="Calibri"/>
          <w:lang w:val="en-GB"/>
        </w:rPr>
        <w:lastRenderedPageBreak/>
        <w:t>compared</w:t>
      </w:r>
      <w:r w:rsidR="00391F02" w:rsidRPr="00616282">
        <w:rPr>
          <w:rFonts w:ascii="Calibri" w:hAnsi="Calibri" w:cs="Calibri"/>
          <w:lang w:val="en-GB"/>
        </w:rPr>
        <w:t xml:space="preserve"> against the national low-emission pathways (e.g., LT-LEDS). As a start, banks should focus on business loans and larg</w:t>
      </w:r>
      <w:r w:rsidR="004F49FB" w:rsidRPr="00616282">
        <w:rPr>
          <w:rFonts w:ascii="Calibri" w:hAnsi="Calibri" w:cs="Calibri"/>
          <w:lang w:val="en-GB"/>
        </w:rPr>
        <w:t>e</w:t>
      </w:r>
      <w:r w:rsidR="00391F02" w:rsidRPr="00616282">
        <w:rPr>
          <w:rFonts w:ascii="Calibri" w:hAnsi="Calibri" w:cs="Calibri"/>
          <w:lang w:val="en-GB"/>
        </w:rPr>
        <w:t xml:space="preserve"> </w:t>
      </w:r>
      <w:r w:rsidR="004F49FB" w:rsidRPr="00616282">
        <w:rPr>
          <w:rFonts w:ascii="Calibri" w:hAnsi="Calibri" w:cs="Calibri"/>
          <w:lang w:val="en-GB"/>
        </w:rPr>
        <w:t xml:space="preserve">portfolio </w:t>
      </w:r>
      <w:r w:rsidR="00391F02" w:rsidRPr="00616282">
        <w:rPr>
          <w:rFonts w:ascii="Calibri" w:hAnsi="Calibri" w:cs="Calibri"/>
          <w:lang w:val="en-GB"/>
        </w:rPr>
        <w:t>exp</w:t>
      </w:r>
      <w:r w:rsidR="001C1AB8" w:rsidRPr="00616282">
        <w:rPr>
          <w:rFonts w:ascii="Calibri" w:hAnsi="Calibri" w:cs="Calibri"/>
          <w:lang w:val="en-GB"/>
        </w:rPr>
        <w:t>osures</w:t>
      </w:r>
      <w:r w:rsidR="005C721B">
        <w:rPr>
          <w:rFonts w:ascii="Calibri" w:hAnsi="Calibri" w:cs="Calibri"/>
          <w:lang w:val="en-GB"/>
        </w:rPr>
        <w:t>,</w:t>
      </w:r>
      <w:r w:rsidR="001C1AB8" w:rsidRPr="00616282">
        <w:rPr>
          <w:rFonts w:ascii="Calibri" w:hAnsi="Calibri" w:cs="Calibri"/>
          <w:lang w:val="en-GB"/>
        </w:rPr>
        <w:t xml:space="preserve"> </w:t>
      </w:r>
      <w:r w:rsidR="005C721B">
        <w:rPr>
          <w:rFonts w:ascii="Calibri" w:hAnsi="Calibri" w:cs="Calibri"/>
          <w:lang w:val="en-GB"/>
        </w:rPr>
        <w:t>l</w:t>
      </w:r>
      <w:r w:rsidR="001C1AB8" w:rsidRPr="00616282">
        <w:rPr>
          <w:rFonts w:ascii="Calibri" w:hAnsi="Calibri" w:cs="Calibri"/>
          <w:lang w:val="en-GB"/>
        </w:rPr>
        <w:t>ater progress</w:t>
      </w:r>
      <w:r w:rsidR="005C721B">
        <w:rPr>
          <w:rFonts w:ascii="Calibri" w:hAnsi="Calibri" w:cs="Calibri"/>
          <w:lang w:val="en-GB"/>
        </w:rPr>
        <w:t xml:space="preserve">ing </w:t>
      </w:r>
      <w:proofErr w:type="gramStart"/>
      <w:r w:rsidR="005C721B">
        <w:rPr>
          <w:rFonts w:ascii="Calibri" w:hAnsi="Calibri" w:cs="Calibri"/>
          <w:lang w:val="en-GB"/>
        </w:rPr>
        <w:t xml:space="preserve">to </w:t>
      </w:r>
      <w:r w:rsidR="001C1AB8" w:rsidRPr="00616282">
        <w:rPr>
          <w:rFonts w:ascii="Calibri" w:hAnsi="Calibri" w:cs="Calibri"/>
          <w:lang w:val="en-GB"/>
        </w:rPr>
        <w:t xml:space="preserve"> include</w:t>
      </w:r>
      <w:proofErr w:type="gramEnd"/>
      <w:r w:rsidR="001C1AB8" w:rsidRPr="00616282">
        <w:rPr>
          <w:rFonts w:ascii="Calibri" w:hAnsi="Calibri" w:cs="Calibri"/>
          <w:lang w:val="en-GB"/>
        </w:rPr>
        <w:t xml:space="preserve"> other </w:t>
      </w:r>
      <w:r w:rsidR="004F49FB" w:rsidRPr="00616282">
        <w:rPr>
          <w:rFonts w:ascii="Calibri" w:hAnsi="Calibri" w:cs="Calibri"/>
          <w:lang w:val="en-GB"/>
        </w:rPr>
        <w:t>asset classes (commercial real estate, mortgages, motor vehicle loans) in the calculations.</w:t>
      </w:r>
      <w:r w:rsidR="0013088E" w:rsidRPr="00616282">
        <w:rPr>
          <w:rFonts w:ascii="Calibri" w:hAnsi="Calibri" w:cs="Calibri"/>
          <w:lang w:val="en-GB"/>
        </w:rPr>
        <w:t xml:space="preserve"> (</w:t>
      </w:r>
      <w:r w:rsidR="00435DD2" w:rsidRPr="00616282">
        <w:rPr>
          <w:rFonts w:ascii="Calibri" w:hAnsi="Calibri" w:cs="Calibri"/>
          <w:lang w:val="en-GB"/>
        </w:rPr>
        <w:t xml:space="preserve">See </w:t>
      </w:r>
      <w:r w:rsidR="00435DD2" w:rsidRPr="00616282">
        <w:rPr>
          <w:rFonts w:ascii="Calibri" w:hAnsi="Calibri" w:cs="Calibri"/>
          <w:b/>
          <w:bCs/>
          <w:i/>
          <w:iCs/>
          <w:lang w:val="en-GB"/>
        </w:rPr>
        <w:t>Transition Risk Exposure Reporting Template Part B</w:t>
      </w:r>
      <w:r w:rsidR="00435DD2" w:rsidRPr="00616282">
        <w:rPr>
          <w:rFonts w:ascii="Calibri" w:hAnsi="Calibri" w:cs="Calibri"/>
          <w:lang w:val="en-GB"/>
        </w:rPr>
        <w:t>)</w:t>
      </w:r>
      <w:bookmarkEnd w:id="65"/>
      <w:bookmarkEnd w:id="66"/>
    </w:p>
    <w:p w14:paraId="510CF39E" w14:textId="1D6C97FE" w:rsidR="004F49FB" w:rsidRPr="00616282" w:rsidRDefault="004F49FB" w:rsidP="00FB0DA0">
      <w:pPr>
        <w:outlineLvl w:val="0"/>
        <w:rPr>
          <w:rFonts w:ascii="Calibri" w:hAnsi="Calibri" w:cs="Calibri"/>
          <w:lang w:val="en-GB"/>
        </w:rPr>
      </w:pPr>
    </w:p>
    <w:p w14:paraId="4F20FB97" w14:textId="4976E4AC" w:rsidR="00115E53" w:rsidRPr="00616282" w:rsidRDefault="004F49FB" w:rsidP="00616282">
      <w:pPr>
        <w:jc w:val="both"/>
        <w:rPr>
          <w:rFonts w:ascii="Calibri" w:hAnsi="Calibri" w:cs="Calibri"/>
          <w:lang w:val="en-GB"/>
        </w:rPr>
      </w:pPr>
      <w:r w:rsidRPr="00616282">
        <w:rPr>
          <w:rFonts w:ascii="Calibri" w:hAnsi="Calibri" w:cs="Calibri"/>
          <w:lang w:val="en-GB"/>
        </w:rPr>
        <w:t xml:space="preserve">As banks start measuring their financed emissions, the following step would be </w:t>
      </w:r>
      <w:r w:rsidR="00CB7548" w:rsidRPr="00616282">
        <w:rPr>
          <w:rFonts w:ascii="Calibri" w:hAnsi="Calibri" w:cs="Calibri"/>
          <w:lang w:val="en-GB"/>
        </w:rPr>
        <w:t xml:space="preserve">to </w:t>
      </w:r>
      <w:r w:rsidR="00CB7548" w:rsidRPr="00616282">
        <w:rPr>
          <w:rFonts w:ascii="Calibri" w:hAnsi="Calibri" w:cs="Calibri"/>
          <w:b/>
          <w:bCs/>
          <w:color w:val="4472C4" w:themeColor="accent1"/>
          <w:lang w:val="en-GB"/>
        </w:rPr>
        <w:t xml:space="preserve">establish specific </w:t>
      </w:r>
      <w:r w:rsidRPr="00616282">
        <w:rPr>
          <w:rFonts w:ascii="Calibri" w:hAnsi="Calibri" w:cs="Calibri"/>
          <w:b/>
          <w:bCs/>
          <w:color w:val="4472C4" w:themeColor="accent1"/>
          <w:lang w:val="en-GB"/>
        </w:rPr>
        <w:t xml:space="preserve">short-, medium- and long-term </w:t>
      </w:r>
      <w:r w:rsidR="00CB7548" w:rsidRPr="00616282">
        <w:rPr>
          <w:rFonts w:ascii="Calibri" w:hAnsi="Calibri" w:cs="Calibri"/>
          <w:b/>
          <w:bCs/>
          <w:color w:val="4472C4" w:themeColor="accent1"/>
          <w:lang w:val="en-GB"/>
        </w:rPr>
        <w:t xml:space="preserve">targets </w:t>
      </w:r>
      <w:r w:rsidR="00115E53" w:rsidRPr="00616282">
        <w:rPr>
          <w:rFonts w:ascii="Calibri" w:hAnsi="Calibri" w:cs="Calibri"/>
          <w:b/>
          <w:bCs/>
          <w:color w:val="4472C4" w:themeColor="accent1"/>
          <w:lang w:val="en-GB"/>
        </w:rPr>
        <w:t xml:space="preserve">or </w:t>
      </w:r>
      <w:r w:rsidR="00CB7548" w:rsidRPr="00616282">
        <w:rPr>
          <w:rFonts w:ascii="Calibri" w:hAnsi="Calibri" w:cs="Calibri"/>
          <w:b/>
          <w:bCs/>
          <w:color w:val="4472C4" w:themeColor="accent1"/>
          <w:lang w:val="en-GB"/>
        </w:rPr>
        <w:t>Key Performance Indicators (KPIs)</w:t>
      </w:r>
      <w:r w:rsidRPr="00616282">
        <w:rPr>
          <w:rFonts w:ascii="Calibri" w:hAnsi="Calibri" w:cs="Calibri"/>
          <w:b/>
          <w:bCs/>
          <w:color w:val="4472C4" w:themeColor="accent1"/>
          <w:lang w:val="en-GB"/>
        </w:rPr>
        <w:t xml:space="preserve"> in material sectors</w:t>
      </w:r>
      <w:r w:rsidRPr="00616282">
        <w:rPr>
          <w:rFonts w:ascii="Calibri" w:hAnsi="Calibri" w:cs="Calibri"/>
          <w:color w:val="4472C4" w:themeColor="accent1"/>
          <w:lang w:val="en-GB"/>
        </w:rPr>
        <w:t xml:space="preserve"> </w:t>
      </w:r>
      <w:r w:rsidRPr="00616282">
        <w:rPr>
          <w:rFonts w:ascii="Calibri" w:hAnsi="Calibri" w:cs="Calibri"/>
          <w:lang w:val="en-GB"/>
        </w:rPr>
        <w:t xml:space="preserve">aligned to </w:t>
      </w:r>
      <w:r w:rsidR="002B5A68" w:rsidRPr="00616282">
        <w:rPr>
          <w:rFonts w:ascii="Calibri" w:hAnsi="Calibri" w:cs="Calibri"/>
          <w:lang w:val="en-GB"/>
        </w:rPr>
        <w:t xml:space="preserve">a scenario. </w:t>
      </w:r>
      <w:r w:rsidR="005E0A45" w:rsidRPr="00616282">
        <w:rPr>
          <w:rFonts w:ascii="Calibri" w:hAnsi="Calibri" w:cs="Calibri"/>
          <w:lang w:val="en-GB"/>
        </w:rPr>
        <w:t xml:space="preserve">CBK has provided an optional alignment metrics reporting template to support such </w:t>
      </w:r>
      <w:r w:rsidR="002C6127" w:rsidRPr="00616282">
        <w:rPr>
          <w:rFonts w:ascii="Calibri" w:hAnsi="Calibri" w:cs="Calibri"/>
          <w:lang w:val="en-GB"/>
        </w:rPr>
        <w:t>endeavours</w:t>
      </w:r>
      <w:r w:rsidR="005E0A45" w:rsidRPr="00616282">
        <w:rPr>
          <w:rFonts w:ascii="Calibri" w:hAnsi="Calibri" w:cs="Calibri"/>
          <w:lang w:val="en-GB"/>
        </w:rPr>
        <w:t>.</w:t>
      </w:r>
    </w:p>
    <w:p w14:paraId="7D8B3E9B" w14:textId="77777777" w:rsidR="00115E53" w:rsidRPr="00616282" w:rsidRDefault="00115E53" w:rsidP="00287E22">
      <w:pPr>
        <w:rPr>
          <w:rFonts w:ascii="Calibri" w:hAnsi="Calibri" w:cs="Calibri"/>
          <w:lang w:val="en-GB"/>
        </w:rPr>
      </w:pPr>
    </w:p>
    <w:p w14:paraId="6DB40288" w14:textId="74148F75" w:rsidR="005E0A45" w:rsidRPr="00616282" w:rsidRDefault="005E0A45" w:rsidP="00616282">
      <w:pPr>
        <w:rPr>
          <w:rFonts w:ascii="Calibri" w:hAnsi="Calibri" w:cs="Calibri"/>
          <w:b/>
          <w:bCs/>
          <w:color w:val="ED7D31" w:themeColor="accent2"/>
          <w:lang w:val="en-GB"/>
        </w:rPr>
      </w:pPr>
      <w:bookmarkStart w:id="67" w:name="_Toc171908208"/>
      <w:bookmarkStart w:id="68" w:name="_Ref167078862"/>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14</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3B2AB0" w:rsidRPr="00616282">
        <w:rPr>
          <w:rFonts w:ascii="Calibri" w:hAnsi="Calibri" w:cs="Calibri"/>
          <w:b/>
          <w:bCs/>
          <w:color w:val="ED7D31" w:themeColor="accent2"/>
          <w:lang w:val="en-GB"/>
        </w:rPr>
        <w:t>Template for reporting</w:t>
      </w:r>
      <w:r w:rsidR="003B2AB0" w:rsidRPr="00616282" w:rsidDel="003B2AB0">
        <w:rPr>
          <w:rFonts w:ascii="Calibri" w:hAnsi="Calibri" w:cs="Calibri"/>
          <w:b/>
          <w:bCs/>
          <w:color w:val="ED7D31" w:themeColor="accent2"/>
          <w:lang w:val="en-GB"/>
        </w:rPr>
        <w:t xml:space="preserve"> </w:t>
      </w:r>
      <w:r w:rsidR="003B2AB0" w:rsidRPr="00616282">
        <w:rPr>
          <w:rFonts w:ascii="Calibri" w:hAnsi="Calibri" w:cs="Calibri"/>
          <w:b/>
          <w:bCs/>
          <w:color w:val="ED7D31" w:themeColor="accent2"/>
          <w:lang w:val="en-GB"/>
        </w:rPr>
        <w:t>o</w:t>
      </w:r>
      <w:r w:rsidRPr="00616282">
        <w:rPr>
          <w:rFonts w:ascii="Calibri" w:hAnsi="Calibri" w:cs="Calibri"/>
          <w:b/>
          <w:bCs/>
          <w:color w:val="ED7D31" w:themeColor="accent2"/>
          <w:lang w:val="en-GB"/>
        </w:rPr>
        <w:t>ptional alignment metrics</w:t>
      </w:r>
      <w:bookmarkEnd w:id="67"/>
      <w:r w:rsidRPr="00616282">
        <w:rPr>
          <w:rFonts w:ascii="Calibri" w:hAnsi="Calibri" w:cs="Calibri"/>
          <w:b/>
          <w:bCs/>
          <w:color w:val="ED7D31" w:themeColor="accent2"/>
          <w:lang w:val="en-GB"/>
        </w:rPr>
        <w:t xml:space="preserve"> </w:t>
      </w:r>
      <w:bookmarkEnd w:id="68"/>
    </w:p>
    <w:p w14:paraId="2F3FC4A4" w14:textId="77777777" w:rsidR="005E0A45" w:rsidRDefault="005E0A45" w:rsidP="00287E22">
      <w:pPr>
        <w:rPr>
          <w:rFonts w:ascii="Calibri" w:hAnsi="Calibri" w:cs="Calibri"/>
          <w:lang w:val="en-GB"/>
        </w:rPr>
      </w:pPr>
    </w:p>
    <w:p w14:paraId="4E6C2926" w14:textId="369776A1" w:rsidR="00352949" w:rsidRPr="00616282" w:rsidRDefault="00352949" w:rsidP="00287E22">
      <w:pPr>
        <w:rPr>
          <w:rFonts w:ascii="Calibri" w:hAnsi="Calibri" w:cs="Calibri"/>
          <w:lang w:val="en-GB"/>
        </w:rPr>
      </w:pPr>
      <w:r w:rsidRPr="00352949">
        <w:rPr>
          <w:rFonts w:ascii="Calibri" w:hAnsi="Calibri" w:cs="Calibri"/>
          <w:noProof/>
          <w:lang w:val="en-GB"/>
        </w:rPr>
        <w:drawing>
          <wp:inline distT="0" distB="0" distL="0" distR="0" wp14:anchorId="6BAEDBD9" wp14:editId="1D6AAB83">
            <wp:extent cx="5731510" cy="946785"/>
            <wp:effectExtent l="0" t="0" r="0" b="5715"/>
            <wp:docPr id="17329136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913666" name=""/>
                    <pic:cNvPicPr/>
                  </pic:nvPicPr>
                  <pic:blipFill>
                    <a:blip r:embed="rId31"/>
                    <a:stretch>
                      <a:fillRect/>
                    </a:stretch>
                  </pic:blipFill>
                  <pic:spPr>
                    <a:xfrm>
                      <a:off x="0" y="0"/>
                      <a:ext cx="5731510" cy="946785"/>
                    </a:xfrm>
                    <a:prstGeom prst="rect">
                      <a:avLst/>
                    </a:prstGeom>
                  </pic:spPr>
                </pic:pic>
              </a:graphicData>
            </a:graphic>
          </wp:inline>
        </w:drawing>
      </w:r>
    </w:p>
    <w:p w14:paraId="24E1C90E" w14:textId="453DBA28"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30FDF905" w14:textId="77777777" w:rsidR="00A74BD5" w:rsidRPr="00616282" w:rsidRDefault="00A74BD5" w:rsidP="00287E22">
      <w:pPr>
        <w:rPr>
          <w:rFonts w:ascii="Calibri" w:hAnsi="Calibri" w:cs="Calibri"/>
          <w:lang w:val="en-GB"/>
        </w:rPr>
      </w:pPr>
    </w:p>
    <w:p w14:paraId="1ACD867F" w14:textId="5161CB00" w:rsidR="002F4A8A" w:rsidRPr="00616282" w:rsidRDefault="005E0A45" w:rsidP="00616282">
      <w:pPr>
        <w:jc w:val="both"/>
        <w:rPr>
          <w:rFonts w:ascii="Calibri" w:hAnsi="Calibri" w:cs="Calibri"/>
          <w:lang w:val="en-GB"/>
        </w:rPr>
      </w:pPr>
      <w:r w:rsidRPr="00616282">
        <w:rPr>
          <w:rFonts w:ascii="Calibri" w:hAnsi="Calibri" w:cs="Calibri"/>
          <w:lang w:val="en-GB"/>
        </w:rPr>
        <w:t>For alignment,</w:t>
      </w:r>
      <w:r w:rsidR="002B5A68" w:rsidRPr="00616282">
        <w:rPr>
          <w:rFonts w:ascii="Calibri" w:hAnsi="Calibri" w:cs="Calibri"/>
          <w:lang w:val="en-GB"/>
        </w:rPr>
        <w:t xml:space="preserve"> banks could use the </w:t>
      </w:r>
      <w:r w:rsidR="004F49FB" w:rsidRPr="00616282">
        <w:rPr>
          <w:rFonts w:ascii="Calibri" w:hAnsi="Calibri" w:cs="Calibri"/>
          <w:lang w:val="en-GB"/>
        </w:rPr>
        <w:t xml:space="preserve">LT-LEDS </w:t>
      </w:r>
      <w:r w:rsidR="00E42CF4" w:rsidRPr="00616282">
        <w:rPr>
          <w:rFonts w:ascii="Calibri" w:hAnsi="Calibri" w:cs="Calibri"/>
          <w:lang w:val="en-GB"/>
        </w:rPr>
        <w:t>as</w:t>
      </w:r>
      <w:r w:rsidR="004F49FB" w:rsidRPr="00616282">
        <w:rPr>
          <w:rFonts w:ascii="Calibri" w:hAnsi="Calibri" w:cs="Calibri"/>
          <w:lang w:val="en-GB"/>
        </w:rPr>
        <w:t xml:space="preserve"> benchmarks</w:t>
      </w:r>
      <w:r w:rsidR="00E42CF4" w:rsidRPr="00616282">
        <w:rPr>
          <w:rFonts w:ascii="Calibri" w:hAnsi="Calibri" w:cs="Calibri"/>
          <w:lang w:val="en-GB"/>
        </w:rPr>
        <w:t xml:space="preserve">. Banks could use the LT-LEDs to derive </w:t>
      </w:r>
      <w:r w:rsidR="004F49FB" w:rsidRPr="00616282">
        <w:rPr>
          <w:rFonts w:ascii="Calibri" w:hAnsi="Calibri" w:cs="Calibri"/>
          <w:lang w:val="en-GB"/>
        </w:rPr>
        <w:t xml:space="preserve">carbon intensities for different sectors </w:t>
      </w:r>
      <w:r w:rsidR="00E42CF4" w:rsidRPr="00616282">
        <w:rPr>
          <w:rFonts w:ascii="Calibri" w:hAnsi="Calibri" w:cs="Calibri"/>
          <w:lang w:val="en-GB"/>
        </w:rPr>
        <w:t>and</w:t>
      </w:r>
      <w:r w:rsidR="004F49FB" w:rsidRPr="00616282">
        <w:rPr>
          <w:rFonts w:ascii="Calibri" w:hAnsi="Calibri" w:cs="Calibri"/>
          <w:lang w:val="en-GB"/>
        </w:rPr>
        <w:t xml:space="preserve"> use </w:t>
      </w:r>
      <w:r w:rsidR="00E42CF4" w:rsidRPr="00616282">
        <w:rPr>
          <w:rFonts w:ascii="Calibri" w:hAnsi="Calibri" w:cs="Calibri"/>
          <w:lang w:val="en-GB"/>
        </w:rPr>
        <w:t>these to</w:t>
      </w:r>
      <w:r w:rsidR="004F49FB" w:rsidRPr="00616282">
        <w:rPr>
          <w:rFonts w:ascii="Calibri" w:hAnsi="Calibri" w:cs="Calibri"/>
          <w:lang w:val="en-GB"/>
        </w:rPr>
        <w:t xml:space="preserve"> steer their portfolios to be aligned with low-carbon economy in Kenya.</w:t>
      </w:r>
      <w:r w:rsidR="002F4A8A" w:rsidRPr="00616282">
        <w:rPr>
          <w:rFonts w:ascii="Calibri" w:hAnsi="Calibri" w:cs="Calibri"/>
          <w:lang w:val="en-GB"/>
        </w:rPr>
        <w:t xml:space="preserve"> </w:t>
      </w:r>
      <w:r w:rsidR="00AE512D" w:rsidRPr="00616282">
        <w:rPr>
          <w:rFonts w:ascii="Calibri" w:hAnsi="Calibri" w:cs="Calibri"/>
          <w:lang w:val="en-GB"/>
        </w:rPr>
        <w:t>Subsequently, these targets can be translated into</w:t>
      </w:r>
      <w:r w:rsidR="002F4A8A" w:rsidRPr="00616282">
        <w:rPr>
          <w:rFonts w:ascii="Calibri" w:hAnsi="Calibri" w:cs="Calibri"/>
          <w:lang w:val="en-GB"/>
        </w:rPr>
        <w:t xml:space="preserve"> </w:t>
      </w:r>
      <w:r w:rsidR="002F4A8A" w:rsidRPr="00616282">
        <w:rPr>
          <w:rFonts w:ascii="Calibri" w:hAnsi="Calibri" w:cs="Calibri"/>
          <w:b/>
          <w:bCs/>
          <w:color w:val="4472C4" w:themeColor="accent1"/>
          <w:lang w:val="en-GB"/>
        </w:rPr>
        <w:t xml:space="preserve">Key </w:t>
      </w:r>
      <w:r w:rsidR="00AE512D" w:rsidRPr="00616282">
        <w:rPr>
          <w:rFonts w:ascii="Calibri" w:hAnsi="Calibri" w:cs="Calibri"/>
          <w:b/>
          <w:bCs/>
          <w:color w:val="4472C4" w:themeColor="accent1"/>
          <w:lang w:val="en-GB"/>
        </w:rPr>
        <w:t xml:space="preserve">Climate </w:t>
      </w:r>
      <w:r w:rsidR="002F4A8A" w:rsidRPr="00616282">
        <w:rPr>
          <w:rFonts w:ascii="Calibri" w:hAnsi="Calibri" w:cs="Calibri"/>
          <w:b/>
          <w:bCs/>
          <w:color w:val="4472C4" w:themeColor="accent1"/>
          <w:lang w:val="en-GB"/>
        </w:rPr>
        <w:t>Risk Indicators (K</w:t>
      </w:r>
      <w:r w:rsidR="00AE512D" w:rsidRPr="00616282">
        <w:rPr>
          <w:rFonts w:ascii="Calibri" w:hAnsi="Calibri" w:cs="Calibri"/>
          <w:b/>
          <w:bCs/>
          <w:color w:val="4472C4" w:themeColor="accent1"/>
          <w:lang w:val="en-GB"/>
        </w:rPr>
        <w:t>C</w:t>
      </w:r>
      <w:r w:rsidR="002F4A8A" w:rsidRPr="00616282">
        <w:rPr>
          <w:rFonts w:ascii="Calibri" w:hAnsi="Calibri" w:cs="Calibri"/>
          <w:b/>
          <w:bCs/>
          <w:color w:val="4472C4" w:themeColor="accent1"/>
          <w:lang w:val="en-GB"/>
        </w:rPr>
        <w:t>RIs)</w:t>
      </w:r>
      <w:r w:rsidR="002F4A8A" w:rsidRPr="00616282">
        <w:rPr>
          <w:rFonts w:ascii="Calibri" w:hAnsi="Calibri" w:cs="Calibri"/>
          <w:lang w:val="en-GB"/>
        </w:rPr>
        <w:t>.</w:t>
      </w:r>
      <w:r w:rsidR="002F4A8A" w:rsidRPr="00616282" w:rsidDel="0047124E">
        <w:rPr>
          <w:rFonts w:ascii="Calibri" w:hAnsi="Calibri" w:cs="Calibri"/>
          <w:lang w:val="en-GB"/>
        </w:rPr>
        <w:t xml:space="preserve"> </w:t>
      </w:r>
      <w:r w:rsidR="002F4A8A" w:rsidRPr="00616282">
        <w:rPr>
          <w:rFonts w:ascii="Calibri" w:hAnsi="Calibri" w:cs="Calibri"/>
          <w:lang w:val="en-GB"/>
        </w:rPr>
        <w:t>The K</w:t>
      </w:r>
      <w:r w:rsidR="00B7558A">
        <w:rPr>
          <w:rFonts w:ascii="Calibri" w:hAnsi="Calibri" w:cs="Calibri"/>
          <w:lang w:val="en-GB"/>
        </w:rPr>
        <w:t>C</w:t>
      </w:r>
      <w:r w:rsidR="002F4A8A" w:rsidRPr="00616282">
        <w:rPr>
          <w:rFonts w:ascii="Calibri" w:hAnsi="Calibri" w:cs="Calibri"/>
          <w:lang w:val="en-GB"/>
        </w:rPr>
        <w:t xml:space="preserve">RIs could track </w:t>
      </w:r>
      <w:r w:rsidR="006F6235" w:rsidRPr="00616282">
        <w:rPr>
          <w:rFonts w:ascii="Calibri" w:hAnsi="Calibri" w:cs="Calibri"/>
          <w:lang w:val="en-GB"/>
        </w:rPr>
        <w:t xml:space="preserve">progress towards </w:t>
      </w:r>
      <w:r w:rsidR="002F4A8A" w:rsidRPr="00616282">
        <w:rPr>
          <w:rFonts w:ascii="Calibri" w:hAnsi="Calibri" w:cs="Calibri"/>
          <w:lang w:val="en-GB"/>
        </w:rPr>
        <w:t xml:space="preserve">alignment </w:t>
      </w:r>
      <w:r w:rsidR="006F6235" w:rsidRPr="00616282">
        <w:rPr>
          <w:rFonts w:ascii="Calibri" w:hAnsi="Calibri" w:cs="Calibri"/>
          <w:lang w:val="en-GB"/>
        </w:rPr>
        <w:t>withi</w:t>
      </w:r>
      <w:r w:rsidR="002F4A8A" w:rsidRPr="00616282">
        <w:rPr>
          <w:rFonts w:ascii="Calibri" w:hAnsi="Calibri" w:cs="Calibri"/>
          <w:lang w:val="en-GB"/>
        </w:rPr>
        <w:t xml:space="preserve">n the bank’s portfolios. </w:t>
      </w:r>
    </w:p>
    <w:p w14:paraId="304B53C5" w14:textId="77777777" w:rsidR="002F4A8A" w:rsidRPr="00616282" w:rsidRDefault="002F4A8A" w:rsidP="00B97958">
      <w:pPr>
        <w:rPr>
          <w:rFonts w:ascii="Calibri" w:hAnsi="Calibri" w:cs="Calibri"/>
          <w:lang w:val="en-GB"/>
        </w:rPr>
      </w:pPr>
    </w:p>
    <w:tbl>
      <w:tblPr>
        <w:tblStyle w:val="TableGrid"/>
        <w:tblpPr w:leftFromText="180" w:rightFromText="180" w:vertAnchor="text" w:horzAnchor="margin" w:tblpY="1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8"/>
        <w:gridCol w:w="4508"/>
      </w:tblGrid>
      <w:tr w:rsidR="002F4A8A" w:rsidRPr="004725EE" w14:paraId="3FA2D2EE" w14:textId="77777777" w:rsidTr="0061766C">
        <w:tc>
          <w:tcPr>
            <w:tcW w:w="4508" w:type="dxa"/>
          </w:tcPr>
          <w:p w14:paraId="4562A290" w14:textId="79E498EF" w:rsidR="002F4A8A" w:rsidRPr="00616282" w:rsidRDefault="00B44809" w:rsidP="00616282">
            <w:pPr>
              <w:jc w:val="center"/>
              <w:rPr>
                <w:rFonts w:ascii="Calibri" w:hAnsi="Calibri" w:cs="Calibri"/>
                <w:b/>
                <w:bCs/>
                <w:color w:val="ED7D31" w:themeColor="accent2"/>
                <w:lang w:val="en-GB"/>
              </w:rPr>
            </w:pPr>
            <w:bookmarkStart w:id="69" w:name="_Toc175223822"/>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7</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ING Power generation decarbonization pathway</w:t>
            </w:r>
            <w:bookmarkEnd w:id="69"/>
          </w:p>
        </w:tc>
        <w:tc>
          <w:tcPr>
            <w:tcW w:w="4508" w:type="dxa"/>
          </w:tcPr>
          <w:p w14:paraId="74035A0E" w14:textId="68ACC074" w:rsidR="002F4A8A" w:rsidRPr="00616282" w:rsidRDefault="00B44809" w:rsidP="00616282">
            <w:pPr>
              <w:jc w:val="center"/>
              <w:rPr>
                <w:rFonts w:ascii="Calibri" w:hAnsi="Calibri" w:cs="Calibri"/>
                <w:b/>
                <w:bCs/>
                <w:color w:val="ED7D31" w:themeColor="accent2"/>
                <w:lang w:val="en-GB"/>
              </w:rPr>
            </w:pPr>
            <w:bookmarkStart w:id="70" w:name="_Toc175223823"/>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8</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ING Cement decarbonization pathway</w:t>
            </w:r>
            <w:bookmarkEnd w:id="70"/>
          </w:p>
        </w:tc>
      </w:tr>
      <w:tr w:rsidR="002F4A8A" w:rsidRPr="004725EE" w14:paraId="07D9629F" w14:textId="77777777" w:rsidTr="0061766C">
        <w:tc>
          <w:tcPr>
            <w:tcW w:w="4508" w:type="dxa"/>
          </w:tcPr>
          <w:p w14:paraId="6482DA70" w14:textId="593F332F" w:rsidR="002F4A8A" w:rsidRPr="00616282" w:rsidRDefault="002F4A8A" w:rsidP="00B8566F">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689B6744" wp14:editId="396A9476">
                  <wp:extent cx="2708031" cy="1333654"/>
                  <wp:effectExtent l="0" t="0" r="0" b="0"/>
                  <wp:docPr id="1232266702" name="Picture 2" descr="A graph of a graph with numbers an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266702" name="Picture 2" descr="A graph of a graph with numbers and lines&#10;&#10;Description automatically generated with medium confidence"/>
                          <pic:cNvPicPr/>
                        </pic:nvPicPr>
                        <pic:blipFill>
                          <a:blip r:embed="rId32">
                            <a:extLst>
                              <a:ext uri="{28A0092B-C50C-407E-A947-70E740481C1C}">
                                <a14:useLocalDpi xmlns:a14="http://schemas.microsoft.com/office/drawing/2010/main" val="0"/>
                              </a:ext>
                            </a:extLst>
                          </a:blip>
                          <a:stretch>
                            <a:fillRect/>
                          </a:stretch>
                        </pic:blipFill>
                        <pic:spPr>
                          <a:xfrm>
                            <a:off x="0" y="0"/>
                            <a:ext cx="2735380" cy="1347123"/>
                          </a:xfrm>
                          <a:prstGeom prst="rect">
                            <a:avLst/>
                          </a:prstGeom>
                        </pic:spPr>
                      </pic:pic>
                    </a:graphicData>
                  </a:graphic>
                </wp:inline>
              </w:drawing>
            </w:r>
          </w:p>
        </w:tc>
        <w:tc>
          <w:tcPr>
            <w:tcW w:w="4508" w:type="dxa"/>
          </w:tcPr>
          <w:p w14:paraId="0B02DCB2" w14:textId="4C8962A3" w:rsidR="002F4A8A" w:rsidRPr="00616282" w:rsidRDefault="002F4A8A" w:rsidP="00B8566F">
            <w:pPr>
              <w:pStyle w:val="Caption"/>
              <w:rPr>
                <w:rFonts w:ascii="Calibri" w:hAnsi="Calibri" w:cs="Calibri"/>
                <w:b/>
                <w:i w:val="0"/>
                <w:iCs w:val="0"/>
                <w:color w:val="ED7D31" w:themeColor="accent2"/>
                <w:sz w:val="24"/>
                <w:szCs w:val="24"/>
                <w:lang w:val="en-GB"/>
              </w:rPr>
            </w:pPr>
            <w:r w:rsidRPr="00616282">
              <w:rPr>
                <w:rFonts w:ascii="Calibri" w:hAnsi="Calibri" w:cs="Calibri"/>
                <w:b/>
                <w:i w:val="0"/>
                <w:iCs w:val="0"/>
                <w:noProof/>
                <w:color w:val="ED7D31" w:themeColor="accent2"/>
                <w:sz w:val="24"/>
                <w:szCs w:val="24"/>
                <w:lang w:val="en-GB"/>
                <w14:ligatures w14:val="standardContextual"/>
              </w:rPr>
              <w:drawing>
                <wp:inline distT="0" distB="0" distL="0" distR="0" wp14:anchorId="4D99D6B7" wp14:editId="40862894">
                  <wp:extent cx="2725420" cy="1336675"/>
                  <wp:effectExtent l="0" t="0" r="5080" b="0"/>
                  <wp:docPr id="2089741378" name="Picture 3" descr="A graph with numbers and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741378" name="Picture 3" descr="A graph with numbers and a line&#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725420" cy="1336675"/>
                          </a:xfrm>
                          <a:prstGeom prst="rect">
                            <a:avLst/>
                          </a:prstGeom>
                        </pic:spPr>
                      </pic:pic>
                    </a:graphicData>
                  </a:graphic>
                </wp:inline>
              </w:drawing>
            </w:r>
          </w:p>
        </w:tc>
      </w:tr>
      <w:tr w:rsidR="002F4A8A" w:rsidRPr="004725EE" w14:paraId="1001D523" w14:textId="77777777" w:rsidTr="0061766C">
        <w:tc>
          <w:tcPr>
            <w:tcW w:w="4508" w:type="dxa"/>
          </w:tcPr>
          <w:p w14:paraId="39A92BF4" w14:textId="491BDE4F" w:rsidR="002F4A8A" w:rsidRPr="00616282" w:rsidRDefault="002F4A8A" w:rsidP="00B8566F">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xml:space="preserve">: </w:t>
            </w:r>
            <w:r w:rsidR="00B44809" w:rsidRPr="00616282">
              <w:rPr>
                <w:rFonts w:ascii="Calibri" w:hAnsi="Calibri" w:cs="Calibri"/>
                <w:sz w:val="20"/>
                <w:szCs w:val="20"/>
              </w:rPr>
              <w:t>ING</w:t>
            </w:r>
            <w:r w:rsidRPr="00616282">
              <w:rPr>
                <w:rFonts w:ascii="Calibri" w:hAnsi="Calibri" w:cs="Calibri"/>
                <w:sz w:val="20"/>
                <w:szCs w:val="20"/>
              </w:rPr>
              <w:t>. 202</w:t>
            </w:r>
            <w:r w:rsidR="00B44809" w:rsidRPr="00616282">
              <w:rPr>
                <w:rFonts w:ascii="Calibri" w:hAnsi="Calibri" w:cs="Calibri"/>
                <w:sz w:val="20"/>
                <w:szCs w:val="20"/>
              </w:rPr>
              <w:t>1</w:t>
            </w:r>
            <w:r w:rsidRPr="00616282">
              <w:rPr>
                <w:rFonts w:ascii="Calibri" w:hAnsi="Calibri" w:cs="Calibri"/>
                <w:sz w:val="20"/>
                <w:szCs w:val="20"/>
              </w:rPr>
              <w:t xml:space="preserve">. </w:t>
            </w:r>
            <w:r w:rsidR="00B44809" w:rsidRPr="00616282">
              <w:rPr>
                <w:rFonts w:ascii="Calibri" w:hAnsi="Calibri" w:cs="Calibri"/>
                <w:sz w:val="20"/>
                <w:szCs w:val="20"/>
              </w:rPr>
              <w:t>Climate</w:t>
            </w:r>
            <w:r w:rsidRPr="00616282">
              <w:rPr>
                <w:rFonts w:ascii="Calibri" w:hAnsi="Calibri" w:cs="Calibri"/>
                <w:sz w:val="20"/>
                <w:szCs w:val="20"/>
              </w:rPr>
              <w:t xml:space="preserve"> Report.</w:t>
            </w:r>
          </w:p>
        </w:tc>
        <w:tc>
          <w:tcPr>
            <w:tcW w:w="4508" w:type="dxa"/>
          </w:tcPr>
          <w:p w14:paraId="2A080057" w14:textId="00CB2E96" w:rsidR="002F4A8A" w:rsidRPr="00616282" w:rsidRDefault="00B44809" w:rsidP="00B8566F">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ING. 2021. Climate Report.</w:t>
            </w:r>
          </w:p>
        </w:tc>
      </w:tr>
    </w:tbl>
    <w:p w14:paraId="66CF4D95" w14:textId="77777777" w:rsidR="00287E22" w:rsidRPr="00616282" w:rsidRDefault="00287E22" w:rsidP="00FB0DA0">
      <w:pPr>
        <w:outlineLvl w:val="0"/>
        <w:rPr>
          <w:rFonts w:ascii="Calibri" w:hAnsi="Calibri" w:cs="Calibri"/>
          <w:lang w:val="en-GB"/>
        </w:rPr>
      </w:pPr>
    </w:p>
    <w:p w14:paraId="52037C4B" w14:textId="3089814B" w:rsidR="004F49FB" w:rsidRPr="00616282" w:rsidRDefault="00E02B7D" w:rsidP="00616282">
      <w:pPr>
        <w:jc w:val="both"/>
        <w:rPr>
          <w:rFonts w:ascii="Calibri" w:hAnsi="Calibri" w:cs="Calibri"/>
        </w:rPr>
      </w:pPr>
      <w:r w:rsidRPr="00616282">
        <w:rPr>
          <w:rFonts w:ascii="Calibri" w:hAnsi="Calibri" w:cs="Calibri"/>
        </w:rPr>
        <w:t xml:space="preserve">Banks should </w:t>
      </w:r>
      <w:r w:rsidRPr="00616282">
        <w:rPr>
          <w:rFonts w:ascii="Calibri" w:hAnsi="Calibri" w:cs="Calibri"/>
          <w:b/>
          <w:bCs/>
          <w:color w:val="4472C4" w:themeColor="accent1"/>
        </w:rPr>
        <w:t>d</w:t>
      </w:r>
      <w:r w:rsidR="00287E22" w:rsidRPr="00616282">
        <w:rPr>
          <w:rFonts w:ascii="Calibri" w:hAnsi="Calibri" w:cs="Calibri"/>
          <w:b/>
          <w:bCs/>
          <w:color w:val="4472C4" w:themeColor="accent1"/>
        </w:rPr>
        <w:t>eploy appropriate risk management tools</w:t>
      </w:r>
      <w:r w:rsidR="00287E22" w:rsidRPr="00616282">
        <w:rPr>
          <w:rFonts w:ascii="Calibri" w:hAnsi="Calibri" w:cs="Calibri"/>
          <w:color w:val="4472C4" w:themeColor="accent1"/>
        </w:rPr>
        <w:t xml:space="preserve"> </w:t>
      </w:r>
      <w:r w:rsidR="00287E22" w:rsidRPr="00616282">
        <w:rPr>
          <w:rFonts w:ascii="Calibri" w:hAnsi="Calibri" w:cs="Calibri"/>
        </w:rPr>
        <w:t xml:space="preserve">to integrate climate considerations into </w:t>
      </w:r>
      <w:r w:rsidR="00720A5C" w:rsidRPr="00616282">
        <w:rPr>
          <w:rFonts w:ascii="Calibri" w:hAnsi="Calibri" w:cs="Calibri"/>
        </w:rPr>
        <w:t>their</w:t>
      </w:r>
      <w:r w:rsidR="00287E22" w:rsidRPr="00616282">
        <w:rPr>
          <w:rFonts w:ascii="Calibri" w:hAnsi="Calibri" w:cs="Calibri"/>
        </w:rPr>
        <w:t xml:space="preserve"> existing strategies. This may include conducting climate-adjusted due diligence</w:t>
      </w:r>
      <w:r w:rsidR="001360C4" w:rsidRPr="00616282">
        <w:rPr>
          <w:rFonts w:ascii="Calibri" w:hAnsi="Calibri" w:cs="Calibri"/>
        </w:rPr>
        <w:t xml:space="preserve"> </w:t>
      </w:r>
      <w:r w:rsidR="00437EF9" w:rsidRPr="00616282">
        <w:rPr>
          <w:rFonts w:ascii="Calibri" w:hAnsi="Calibri" w:cs="Calibri"/>
        </w:rPr>
        <w:t>embedding</w:t>
      </w:r>
      <w:r w:rsidR="00287E22" w:rsidRPr="00616282">
        <w:rPr>
          <w:rFonts w:ascii="Calibri" w:hAnsi="Calibri" w:cs="Calibri"/>
        </w:rPr>
        <w:t xml:space="preserve"> climate</w:t>
      </w:r>
      <w:r w:rsidR="00437EF9" w:rsidRPr="00616282">
        <w:rPr>
          <w:rFonts w:ascii="Calibri" w:hAnsi="Calibri" w:cs="Calibri"/>
        </w:rPr>
        <w:t>-related</w:t>
      </w:r>
      <w:r w:rsidR="00287E22" w:rsidRPr="00616282">
        <w:rPr>
          <w:rFonts w:ascii="Calibri" w:hAnsi="Calibri" w:cs="Calibri"/>
        </w:rPr>
        <w:t xml:space="preserve"> questionnaires and </w:t>
      </w:r>
      <w:r w:rsidR="00437EF9" w:rsidRPr="00616282">
        <w:rPr>
          <w:rFonts w:ascii="Calibri" w:hAnsi="Calibri" w:cs="Calibri"/>
        </w:rPr>
        <w:t>scorecards and</w:t>
      </w:r>
      <w:r w:rsidR="00287E22" w:rsidRPr="00616282">
        <w:rPr>
          <w:rFonts w:ascii="Calibri" w:hAnsi="Calibri" w:cs="Calibri"/>
        </w:rPr>
        <w:t xml:space="preserve"> integrating climate tools into risk management processes.</w:t>
      </w:r>
    </w:p>
    <w:p w14:paraId="36EA5E60" w14:textId="77777777" w:rsidR="004F49FB" w:rsidRPr="00616282" w:rsidRDefault="004F49FB" w:rsidP="00287E22">
      <w:pPr>
        <w:rPr>
          <w:rFonts w:ascii="Calibri" w:hAnsi="Calibri" w:cs="Calibri"/>
        </w:rPr>
      </w:pPr>
    </w:p>
    <w:p w14:paraId="0D05218B" w14:textId="073CD1A2" w:rsidR="00D97DB6" w:rsidRPr="00616282" w:rsidRDefault="00437EF9" w:rsidP="00616282">
      <w:pPr>
        <w:jc w:val="both"/>
        <w:rPr>
          <w:rFonts w:ascii="Calibri" w:hAnsi="Calibri" w:cs="Calibri"/>
          <w:lang w:val="en-GB"/>
        </w:rPr>
      </w:pPr>
      <w:r w:rsidRPr="00616282">
        <w:rPr>
          <w:rFonts w:ascii="Calibri" w:hAnsi="Calibri" w:cs="Calibri"/>
        </w:rPr>
        <w:t xml:space="preserve">Critically, </w:t>
      </w:r>
      <w:r w:rsidRPr="00616282">
        <w:rPr>
          <w:rFonts w:ascii="Calibri" w:hAnsi="Calibri" w:cs="Calibri"/>
          <w:b/>
          <w:bCs/>
          <w:color w:val="4472C4" w:themeColor="accent1"/>
        </w:rPr>
        <w:t>engagement with clients</w:t>
      </w:r>
      <w:r w:rsidR="00287E22" w:rsidRPr="00616282">
        <w:rPr>
          <w:rFonts w:ascii="Calibri" w:hAnsi="Calibri" w:cs="Calibri"/>
        </w:rPr>
        <w:t xml:space="preserve"> </w:t>
      </w:r>
      <w:r w:rsidRPr="00616282">
        <w:rPr>
          <w:rFonts w:ascii="Calibri" w:hAnsi="Calibri" w:cs="Calibri"/>
        </w:rPr>
        <w:t xml:space="preserve">should be emphasized to support clients in </w:t>
      </w:r>
      <w:r w:rsidR="00287E22" w:rsidRPr="00616282">
        <w:rPr>
          <w:rFonts w:ascii="Calibri" w:hAnsi="Calibri" w:cs="Calibri"/>
        </w:rPr>
        <w:t>understand</w:t>
      </w:r>
      <w:r w:rsidRPr="00616282">
        <w:rPr>
          <w:rFonts w:ascii="Calibri" w:hAnsi="Calibri" w:cs="Calibri"/>
        </w:rPr>
        <w:t>ing</w:t>
      </w:r>
      <w:r w:rsidR="00287E22" w:rsidRPr="00616282">
        <w:rPr>
          <w:rFonts w:ascii="Calibri" w:hAnsi="Calibri" w:cs="Calibri"/>
        </w:rPr>
        <w:t xml:space="preserve"> their exposure to climate risks and help them develop </w:t>
      </w:r>
      <w:r w:rsidR="00AC015F" w:rsidRPr="00616282">
        <w:rPr>
          <w:rFonts w:ascii="Calibri" w:hAnsi="Calibri" w:cs="Calibri"/>
        </w:rPr>
        <w:t>their</w:t>
      </w:r>
      <w:r w:rsidRPr="00616282">
        <w:rPr>
          <w:rFonts w:ascii="Calibri" w:hAnsi="Calibri" w:cs="Calibri"/>
        </w:rPr>
        <w:t xml:space="preserve"> own</w:t>
      </w:r>
      <w:r w:rsidR="00AC015F" w:rsidRPr="00616282">
        <w:rPr>
          <w:rFonts w:ascii="Calibri" w:hAnsi="Calibri" w:cs="Calibri"/>
        </w:rPr>
        <w:t xml:space="preserve"> </w:t>
      </w:r>
      <w:r w:rsidR="00287E22" w:rsidRPr="00616282">
        <w:rPr>
          <w:rFonts w:ascii="Calibri" w:hAnsi="Calibri" w:cs="Calibri"/>
        </w:rPr>
        <w:t xml:space="preserve">climate transition plans. </w:t>
      </w:r>
      <w:r w:rsidR="00AC015F" w:rsidRPr="00616282">
        <w:rPr>
          <w:rFonts w:ascii="Calibri" w:hAnsi="Calibri" w:cs="Calibri"/>
        </w:rPr>
        <w:t>This could be achieved throug</w:t>
      </w:r>
      <w:r w:rsidR="00A81BD1" w:rsidRPr="00616282">
        <w:rPr>
          <w:rFonts w:ascii="Calibri" w:hAnsi="Calibri" w:cs="Calibri"/>
        </w:rPr>
        <w:t>h</w:t>
      </w:r>
      <w:r w:rsidR="00287E22" w:rsidRPr="00616282">
        <w:rPr>
          <w:rFonts w:ascii="Calibri" w:hAnsi="Calibri" w:cs="Calibri"/>
        </w:rPr>
        <w:t xml:space="preserve"> structured approaches such as regular check-ups on their climate transition progress and assessments of their emission </w:t>
      </w:r>
      <w:r w:rsidR="008C3061" w:rsidRPr="00616282">
        <w:rPr>
          <w:rFonts w:ascii="Calibri" w:hAnsi="Calibri" w:cs="Calibri"/>
        </w:rPr>
        <w:t>profiles</w:t>
      </w:r>
      <w:r w:rsidR="00287E22" w:rsidRPr="00616282">
        <w:rPr>
          <w:rFonts w:ascii="Calibri" w:hAnsi="Calibri" w:cs="Calibri"/>
        </w:rPr>
        <w:t>.</w:t>
      </w:r>
      <w:r w:rsidR="004F4D64" w:rsidRPr="00616282">
        <w:rPr>
          <w:rFonts w:ascii="Calibri" w:hAnsi="Calibri" w:cs="Calibri"/>
        </w:rPr>
        <w:t xml:space="preserve"> Through these </w:t>
      </w:r>
      <w:r w:rsidR="00A80410" w:rsidRPr="00616282">
        <w:rPr>
          <w:rFonts w:ascii="Calibri" w:hAnsi="Calibri" w:cs="Calibri"/>
        </w:rPr>
        <w:t>engagements</w:t>
      </w:r>
      <w:r w:rsidR="004F4D64" w:rsidRPr="00616282">
        <w:rPr>
          <w:rFonts w:ascii="Calibri" w:hAnsi="Calibri" w:cs="Calibri"/>
        </w:rPr>
        <w:t xml:space="preserve">, banks </w:t>
      </w:r>
      <w:r w:rsidR="008C3061" w:rsidRPr="00616282">
        <w:rPr>
          <w:rFonts w:ascii="Calibri" w:hAnsi="Calibri" w:cs="Calibri"/>
        </w:rPr>
        <w:t xml:space="preserve">can develop </w:t>
      </w:r>
      <w:r w:rsidR="008C3061" w:rsidRPr="00616282">
        <w:rPr>
          <w:rFonts w:ascii="Calibri" w:hAnsi="Calibri" w:cs="Calibri"/>
          <w:b/>
          <w:bCs/>
          <w:color w:val="4472C4" w:themeColor="accent1"/>
        </w:rPr>
        <w:t xml:space="preserve">transition finance </w:t>
      </w:r>
      <w:r w:rsidR="00FA1FDD" w:rsidRPr="00616282">
        <w:rPr>
          <w:rFonts w:ascii="Calibri" w:hAnsi="Calibri" w:cs="Calibri"/>
          <w:b/>
          <w:bCs/>
          <w:color w:val="4472C4" w:themeColor="accent1"/>
        </w:rPr>
        <w:t>products</w:t>
      </w:r>
      <w:r w:rsidR="00F51D5A" w:rsidRPr="00616282">
        <w:rPr>
          <w:rFonts w:ascii="Calibri" w:hAnsi="Calibri" w:cs="Calibri"/>
        </w:rPr>
        <w:t xml:space="preserve"> </w:t>
      </w:r>
      <w:r w:rsidR="00287E22" w:rsidRPr="00616282">
        <w:rPr>
          <w:rFonts w:ascii="Calibri" w:hAnsi="Calibri" w:cs="Calibri"/>
        </w:rPr>
        <w:t xml:space="preserve">to meet the evolving needs of </w:t>
      </w:r>
      <w:r w:rsidR="002B4426" w:rsidRPr="00616282">
        <w:rPr>
          <w:rFonts w:ascii="Calibri" w:hAnsi="Calibri" w:cs="Calibri"/>
        </w:rPr>
        <w:t>their</w:t>
      </w:r>
      <w:r w:rsidR="00287E22" w:rsidRPr="00616282">
        <w:rPr>
          <w:rFonts w:ascii="Calibri" w:hAnsi="Calibri" w:cs="Calibri"/>
        </w:rPr>
        <w:t xml:space="preserve"> clients and capitalize on emerging opportunities in the transition to a low-carbon economy</w:t>
      </w:r>
      <w:r w:rsidR="005B5D9E" w:rsidRPr="00616282">
        <w:rPr>
          <w:rFonts w:ascii="Calibri" w:hAnsi="Calibri" w:cs="Calibri"/>
        </w:rPr>
        <w:t>, such as:</w:t>
      </w:r>
    </w:p>
    <w:p w14:paraId="413CACCF" w14:textId="77777777" w:rsidR="00FC65A4" w:rsidRPr="00616282" w:rsidRDefault="00FC65A4" w:rsidP="00FC65A4">
      <w:pPr>
        <w:rPr>
          <w:rFonts w:ascii="Calibri" w:hAnsi="Calibri" w:cs="Calibri"/>
        </w:rPr>
      </w:pPr>
    </w:p>
    <w:p w14:paraId="71CA7D31" w14:textId="72DA28FB"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lastRenderedPageBreak/>
        <w:t>Advisory Services for Clients</w:t>
      </w:r>
      <w:r w:rsidRPr="00616282">
        <w:rPr>
          <w:rFonts w:ascii="Calibri" w:hAnsi="Calibri" w:cs="Calibri"/>
          <w:lang w:val="en-GB"/>
        </w:rPr>
        <w:t xml:space="preserve">: Providing expert guidance to clients on how to transition their operations and investments towards </w:t>
      </w:r>
      <w:r w:rsidR="00260E36" w:rsidRPr="00616282">
        <w:rPr>
          <w:rFonts w:ascii="Calibri" w:hAnsi="Calibri" w:cs="Calibri"/>
          <w:lang w:val="en-GB"/>
        </w:rPr>
        <w:t>climate resilient business model</w:t>
      </w:r>
      <w:r w:rsidRPr="00616282">
        <w:rPr>
          <w:rFonts w:ascii="Calibri" w:hAnsi="Calibri" w:cs="Calibri"/>
          <w:lang w:val="en-GB"/>
        </w:rPr>
        <w:t xml:space="preserve">. This </w:t>
      </w:r>
      <w:r w:rsidR="00260E36" w:rsidRPr="00616282">
        <w:rPr>
          <w:rFonts w:ascii="Calibri" w:hAnsi="Calibri" w:cs="Calibri"/>
          <w:lang w:val="en-GB"/>
        </w:rPr>
        <w:t xml:space="preserve">could </w:t>
      </w:r>
      <w:r w:rsidRPr="00616282">
        <w:rPr>
          <w:rFonts w:ascii="Calibri" w:hAnsi="Calibri" w:cs="Calibri"/>
          <w:lang w:val="en-GB"/>
        </w:rPr>
        <w:t>include strategies to reduce carbon footprints</w:t>
      </w:r>
      <w:r w:rsidR="00BB4189" w:rsidRPr="00616282">
        <w:rPr>
          <w:rFonts w:ascii="Calibri" w:hAnsi="Calibri" w:cs="Calibri"/>
          <w:lang w:val="en-GB"/>
        </w:rPr>
        <w:t>, support their measurement</w:t>
      </w:r>
      <w:r w:rsidR="005C721B">
        <w:rPr>
          <w:rFonts w:ascii="Calibri" w:hAnsi="Calibri" w:cs="Calibri"/>
          <w:lang w:val="en-GB"/>
        </w:rPr>
        <w:t>,</w:t>
      </w:r>
      <w:r w:rsidRPr="00616282">
        <w:rPr>
          <w:rFonts w:ascii="Calibri" w:hAnsi="Calibri" w:cs="Calibri"/>
          <w:lang w:val="en-GB"/>
        </w:rPr>
        <w:t xml:space="preserve"> and comply with regulatory requirements</w:t>
      </w:r>
      <w:r w:rsidR="0014377D" w:rsidRPr="00616282">
        <w:rPr>
          <w:rFonts w:ascii="Calibri" w:hAnsi="Calibri" w:cs="Calibri"/>
          <w:lang w:val="en-GB"/>
        </w:rPr>
        <w:t xml:space="preserve">. </w:t>
      </w:r>
    </w:p>
    <w:p w14:paraId="56243515" w14:textId="36630CCF"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Green Finance Products</w:t>
      </w:r>
      <w:r w:rsidRPr="00616282">
        <w:rPr>
          <w:rFonts w:ascii="Calibri" w:hAnsi="Calibri" w:cs="Calibri"/>
          <w:lang w:val="en-GB"/>
        </w:rPr>
        <w:t>: Offering financial instruments specifically designed to fund environmentally friendly projects. This can encompass green bonds, loans, and other investment vehicles that support renewable energy, energy efficiency, pollution prevention, and other green initiatives</w:t>
      </w:r>
      <w:r w:rsidR="0014377D" w:rsidRPr="00616282">
        <w:rPr>
          <w:rFonts w:ascii="Calibri" w:hAnsi="Calibri" w:cs="Calibri"/>
          <w:lang w:val="en-GB"/>
        </w:rPr>
        <w:t xml:space="preserve">. </w:t>
      </w:r>
    </w:p>
    <w:p w14:paraId="5140B48C" w14:textId="3C4131C1"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Transition Finance Products</w:t>
      </w:r>
      <w:r w:rsidRPr="00616282">
        <w:rPr>
          <w:rFonts w:ascii="Calibri" w:hAnsi="Calibri" w:cs="Calibri"/>
          <w:lang w:val="en-GB"/>
        </w:rPr>
        <w:t xml:space="preserve">: Developing tailored financial solutions that help companies transition from high-carbon to low-carbon activities. These products </w:t>
      </w:r>
      <w:r w:rsidR="00AB716A" w:rsidRPr="00616282">
        <w:rPr>
          <w:rFonts w:ascii="Calibri" w:hAnsi="Calibri" w:cs="Calibri"/>
          <w:lang w:val="en-GB"/>
        </w:rPr>
        <w:t xml:space="preserve">would </w:t>
      </w:r>
      <w:r w:rsidRPr="00616282">
        <w:rPr>
          <w:rFonts w:ascii="Calibri" w:hAnsi="Calibri" w:cs="Calibri"/>
          <w:lang w:val="en-GB"/>
        </w:rPr>
        <w:t>aim to support</w:t>
      </w:r>
      <w:r w:rsidR="00AB716A" w:rsidRPr="00616282">
        <w:rPr>
          <w:rFonts w:ascii="Calibri" w:hAnsi="Calibri" w:cs="Calibri"/>
          <w:lang w:val="en-GB"/>
        </w:rPr>
        <w:t xml:space="preserve"> hard-to-abate</w:t>
      </w:r>
      <w:r w:rsidRPr="00616282">
        <w:rPr>
          <w:rFonts w:ascii="Calibri" w:hAnsi="Calibri" w:cs="Calibri"/>
          <w:lang w:val="en-GB"/>
        </w:rPr>
        <w:t xml:space="preserve"> sectors </w:t>
      </w:r>
      <w:r w:rsidR="00DA6F60" w:rsidRPr="00616282">
        <w:rPr>
          <w:rFonts w:ascii="Calibri" w:hAnsi="Calibri" w:cs="Calibri"/>
          <w:lang w:val="en-GB"/>
        </w:rPr>
        <w:t xml:space="preserve">in their efforts to </w:t>
      </w:r>
      <w:r w:rsidRPr="00616282">
        <w:rPr>
          <w:rFonts w:ascii="Calibri" w:hAnsi="Calibri" w:cs="Calibri"/>
          <w:lang w:val="en-GB"/>
        </w:rPr>
        <w:t>reduc</w:t>
      </w:r>
      <w:r w:rsidR="00FF786B" w:rsidRPr="00616282">
        <w:rPr>
          <w:rFonts w:ascii="Calibri" w:hAnsi="Calibri" w:cs="Calibri"/>
          <w:lang w:val="en-GB"/>
        </w:rPr>
        <w:t>e</w:t>
      </w:r>
      <w:r w:rsidRPr="00616282">
        <w:rPr>
          <w:rFonts w:ascii="Calibri" w:hAnsi="Calibri" w:cs="Calibri"/>
          <w:lang w:val="en-GB"/>
        </w:rPr>
        <w:t xml:space="preserve"> their carbon emissions</w:t>
      </w:r>
      <w:r w:rsidR="00FF786B" w:rsidRPr="00616282">
        <w:rPr>
          <w:rFonts w:ascii="Calibri" w:hAnsi="Calibri" w:cs="Calibri"/>
          <w:lang w:val="en-GB"/>
        </w:rPr>
        <w:t xml:space="preserve"> (</w:t>
      </w:r>
      <w:r w:rsidR="00B22A7D" w:rsidRPr="00616282">
        <w:rPr>
          <w:rFonts w:ascii="Calibri" w:hAnsi="Calibri" w:cs="Calibri"/>
          <w:lang w:val="en-GB"/>
        </w:rPr>
        <w:t>e.g., cement, steel, iron</w:t>
      </w:r>
      <w:r w:rsidR="00FC4357" w:rsidRPr="00616282">
        <w:rPr>
          <w:rFonts w:ascii="Calibri" w:hAnsi="Calibri" w:cs="Calibri"/>
          <w:lang w:val="en-GB"/>
        </w:rPr>
        <w:t>, chemicals</w:t>
      </w:r>
      <w:r w:rsidR="00B655C2" w:rsidRPr="00616282">
        <w:rPr>
          <w:rFonts w:ascii="Calibri" w:hAnsi="Calibri" w:cs="Calibri"/>
          <w:lang w:val="en-GB"/>
        </w:rPr>
        <w:t xml:space="preserve"> etc.)</w:t>
      </w:r>
    </w:p>
    <w:p w14:paraId="2CDF7106" w14:textId="5065176E"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Sustainability-Linked Products</w:t>
      </w:r>
      <w:r w:rsidRPr="00616282">
        <w:rPr>
          <w:rFonts w:ascii="Calibri" w:hAnsi="Calibri" w:cs="Calibri"/>
          <w:lang w:val="en-GB"/>
        </w:rPr>
        <w:t>: Creating financial products that are tied to the achievement of specific sustainability performance targets. These could include sustainability-linked loans or bonds, where the terms and conditions, such as interest rates, are linked to the borrower’s performance against predefined sustainability metrics.</w:t>
      </w:r>
    </w:p>
    <w:p w14:paraId="312B213E" w14:textId="77777777" w:rsidR="00FC65A4" w:rsidRPr="00616282" w:rsidRDefault="00FC65A4" w:rsidP="000C4C5B">
      <w:pPr>
        <w:jc w:val="both"/>
        <w:rPr>
          <w:rFonts w:ascii="Calibri" w:hAnsi="Calibri" w:cs="Calibri"/>
        </w:rPr>
      </w:pPr>
    </w:p>
    <w:p w14:paraId="1906B604" w14:textId="01B9D107" w:rsidR="001C3C18" w:rsidRPr="00616282" w:rsidRDefault="001C3C18" w:rsidP="000C4C5B">
      <w:pPr>
        <w:jc w:val="both"/>
        <w:rPr>
          <w:rFonts w:ascii="Calibri" w:hAnsi="Calibri" w:cs="Calibri"/>
        </w:rPr>
      </w:pPr>
      <w:r w:rsidRPr="00616282">
        <w:rPr>
          <w:rFonts w:ascii="Calibri" w:hAnsi="Calibri" w:cs="Calibri"/>
        </w:rPr>
        <w:t xml:space="preserve">The following figure shows how </w:t>
      </w:r>
      <w:r w:rsidR="001001EC" w:rsidRPr="00616282">
        <w:rPr>
          <w:rFonts w:ascii="Calibri" w:hAnsi="Calibri" w:cs="Calibri"/>
        </w:rPr>
        <w:t xml:space="preserve">TD Bank </w:t>
      </w:r>
      <w:r w:rsidRPr="00616282">
        <w:rPr>
          <w:rFonts w:ascii="Calibri" w:hAnsi="Calibri" w:cs="Calibri"/>
        </w:rPr>
        <w:t xml:space="preserve">has assembled its </w:t>
      </w:r>
      <w:r w:rsidR="001001EC" w:rsidRPr="00616282">
        <w:rPr>
          <w:rFonts w:ascii="Calibri" w:hAnsi="Calibri" w:cs="Calibri"/>
        </w:rPr>
        <w:t>Climate</w:t>
      </w:r>
      <w:r w:rsidRPr="00616282">
        <w:rPr>
          <w:rFonts w:ascii="Calibri" w:hAnsi="Calibri" w:cs="Calibri"/>
        </w:rPr>
        <w:t xml:space="preserve"> Transition Plan </w:t>
      </w:r>
      <w:r w:rsidR="00BA2B00" w:rsidRPr="00616282">
        <w:rPr>
          <w:rFonts w:ascii="Calibri" w:hAnsi="Calibri" w:cs="Calibri"/>
        </w:rPr>
        <w:t xml:space="preserve">under the overall business strategy, </w:t>
      </w:r>
      <w:r w:rsidRPr="00616282">
        <w:rPr>
          <w:rFonts w:ascii="Calibri" w:hAnsi="Calibri" w:cs="Calibri"/>
        </w:rPr>
        <w:t xml:space="preserve">with a series of targets and business commitments </w:t>
      </w:r>
      <w:r w:rsidR="00E25D3D" w:rsidRPr="00616282">
        <w:rPr>
          <w:rFonts w:ascii="Calibri" w:hAnsi="Calibri" w:cs="Calibri"/>
        </w:rPr>
        <w:t xml:space="preserve">by </w:t>
      </w:r>
      <w:r w:rsidRPr="00616282">
        <w:rPr>
          <w:rFonts w:ascii="Calibri" w:hAnsi="Calibri" w:cs="Calibri"/>
        </w:rPr>
        <w:t>2030</w:t>
      </w:r>
      <w:r w:rsidR="00E25D3D" w:rsidRPr="00616282">
        <w:rPr>
          <w:rFonts w:ascii="Calibri" w:hAnsi="Calibri" w:cs="Calibri"/>
        </w:rPr>
        <w:t xml:space="preserve">. </w:t>
      </w:r>
    </w:p>
    <w:p w14:paraId="500F1A2E" w14:textId="77777777" w:rsidR="001C3C18" w:rsidRPr="00616282" w:rsidRDefault="001C3C18" w:rsidP="000C4C5B">
      <w:pPr>
        <w:jc w:val="both"/>
        <w:rPr>
          <w:rFonts w:ascii="Calibri" w:hAnsi="Calibri" w:cs="Calibri"/>
        </w:rPr>
      </w:pPr>
    </w:p>
    <w:p w14:paraId="447BC397" w14:textId="3AEAFA86" w:rsidR="006725A9" w:rsidRPr="00616282" w:rsidRDefault="001C3C18" w:rsidP="00616282">
      <w:pPr>
        <w:rPr>
          <w:rFonts w:ascii="Calibri" w:hAnsi="Calibri" w:cs="Calibri"/>
          <w:b/>
          <w:bCs/>
          <w:color w:val="ED7D31" w:themeColor="accent2"/>
          <w:lang w:val="en-GB"/>
        </w:rPr>
      </w:pPr>
      <w:bookmarkStart w:id="71" w:name="_Toc175223824"/>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9</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365080" w:rsidRPr="00616282">
        <w:rPr>
          <w:rFonts w:ascii="Calibri" w:hAnsi="Calibri" w:cs="Calibri"/>
          <w:b/>
          <w:bCs/>
          <w:color w:val="ED7D31" w:themeColor="accent2"/>
          <w:lang w:val="en-GB"/>
        </w:rPr>
        <w:t xml:space="preserve">Overview of </w:t>
      </w:r>
      <w:r w:rsidR="002C5A93" w:rsidRPr="00616282">
        <w:rPr>
          <w:rFonts w:ascii="Calibri" w:hAnsi="Calibri" w:cs="Calibri"/>
          <w:b/>
          <w:bCs/>
          <w:color w:val="ED7D31" w:themeColor="accent2"/>
          <w:lang w:val="en-GB"/>
        </w:rPr>
        <w:t>TD Bank Climate</w:t>
      </w:r>
      <w:r w:rsidR="00365080" w:rsidRPr="00616282">
        <w:rPr>
          <w:rFonts w:ascii="Calibri" w:hAnsi="Calibri" w:cs="Calibri"/>
          <w:b/>
          <w:bCs/>
          <w:color w:val="ED7D31" w:themeColor="accent2"/>
          <w:lang w:val="en-GB"/>
        </w:rPr>
        <w:t xml:space="preserve"> Transition Plan</w:t>
      </w:r>
      <w:bookmarkEnd w:id="71"/>
    </w:p>
    <w:p w14:paraId="5CCB4584" w14:textId="58F1DA69" w:rsidR="006725A9" w:rsidRPr="00616282" w:rsidRDefault="003B2AB0" w:rsidP="000C4C5B">
      <w:pPr>
        <w:jc w:val="cente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06FC9EC" wp14:editId="3587C646">
            <wp:extent cx="6464300" cy="4127500"/>
            <wp:effectExtent l="0" t="0" r="0" b="6350"/>
            <wp:docPr id="16222056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205652" name=""/>
                    <pic:cNvPicPr/>
                  </pic:nvPicPr>
                  <pic:blipFill>
                    <a:blip r:embed="rId34"/>
                    <a:stretch>
                      <a:fillRect/>
                    </a:stretch>
                  </pic:blipFill>
                  <pic:spPr>
                    <a:xfrm>
                      <a:off x="0" y="0"/>
                      <a:ext cx="6464300" cy="4127500"/>
                    </a:xfrm>
                    <a:prstGeom prst="rect">
                      <a:avLst/>
                    </a:prstGeom>
                  </pic:spPr>
                </pic:pic>
              </a:graphicData>
            </a:graphic>
          </wp:inline>
        </w:drawing>
      </w:r>
    </w:p>
    <w:p w14:paraId="6293C717" w14:textId="3662E950" w:rsidR="005001B1" w:rsidRPr="00616282" w:rsidRDefault="005001B1" w:rsidP="000C4C5B">
      <w:pPr>
        <w:jc w:val="center"/>
        <w:rPr>
          <w:rFonts w:ascii="Calibri" w:hAnsi="Calibri" w:cs="Calibri"/>
          <w:sz w:val="20"/>
          <w:szCs w:val="20"/>
        </w:rPr>
      </w:pPr>
      <w:r w:rsidRPr="00616282">
        <w:rPr>
          <w:rFonts w:ascii="Calibri" w:hAnsi="Calibri" w:cs="Calibri"/>
          <w:sz w:val="20"/>
          <w:szCs w:val="20"/>
        </w:rPr>
        <w:t xml:space="preserve">Source: </w:t>
      </w:r>
      <w:r w:rsidR="00D8065F" w:rsidRPr="00616282">
        <w:rPr>
          <w:rFonts w:ascii="Calibri" w:hAnsi="Calibri" w:cs="Calibri"/>
          <w:sz w:val="20"/>
          <w:szCs w:val="20"/>
        </w:rPr>
        <w:t>TD Bank</w:t>
      </w:r>
      <w:r w:rsidRPr="00616282">
        <w:rPr>
          <w:rFonts w:ascii="Calibri" w:hAnsi="Calibri" w:cs="Calibri"/>
          <w:sz w:val="20"/>
          <w:szCs w:val="20"/>
        </w:rPr>
        <w:t>. 202</w:t>
      </w:r>
      <w:r w:rsidR="00D8065F" w:rsidRPr="00616282">
        <w:rPr>
          <w:rFonts w:ascii="Calibri" w:hAnsi="Calibri" w:cs="Calibri"/>
          <w:sz w:val="20"/>
          <w:szCs w:val="20"/>
        </w:rPr>
        <w:t>2</w:t>
      </w:r>
      <w:r w:rsidRPr="00616282">
        <w:rPr>
          <w:rFonts w:ascii="Calibri" w:hAnsi="Calibri" w:cs="Calibri"/>
          <w:sz w:val="20"/>
          <w:szCs w:val="20"/>
        </w:rPr>
        <w:t>.</w:t>
      </w:r>
    </w:p>
    <w:p w14:paraId="060BDA0A" w14:textId="77777777" w:rsidR="00341237" w:rsidRPr="00616282" w:rsidRDefault="00341237" w:rsidP="00B94037">
      <w:pPr>
        <w:rPr>
          <w:rFonts w:ascii="Calibri" w:hAnsi="Calibri" w:cs="Calibri"/>
        </w:rPr>
      </w:pPr>
    </w:p>
    <w:p w14:paraId="605EFE22" w14:textId="77777777" w:rsidR="00157082" w:rsidRDefault="00157082">
      <w:pPr>
        <w:rPr>
          <w:rFonts w:ascii="Calibri" w:eastAsiaTheme="majorEastAsia" w:hAnsi="Calibri" w:cs="Calibri"/>
          <w:color w:val="2F5496" w:themeColor="accent1" w:themeShade="BF"/>
          <w:sz w:val="32"/>
          <w:szCs w:val="32"/>
        </w:rPr>
      </w:pPr>
      <w:bookmarkStart w:id="72" w:name="_Toc167079301"/>
      <w:bookmarkStart w:id="73" w:name="_Toc167079490"/>
      <w:bookmarkStart w:id="74" w:name="_Toc171908187"/>
      <w:r>
        <w:rPr>
          <w:rFonts w:ascii="Calibri" w:hAnsi="Calibri" w:cs="Calibri"/>
        </w:rPr>
        <w:br w:type="page"/>
      </w:r>
    </w:p>
    <w:p w14:paraId="68E936E5" w14:textId="1114A733" w:rsidR="001B70CE" w:rsidRPr="00616282" w:rsidRDefault="001B70CE" w:rsidP="0061766C">
      <w:pPr>
        <w:pStyle w:val="Heading1"/>
        <w:pBdr>
          <w:bottom w:val="single" w:sz="8" w:space="1" w:color="2E74B5" w:themeColor="accent5" w:themeShade="BF"/>
        </w:pBdr>
        <w:rPr>
          <w:rFonts w:ascii="Calibri" w:hAnsi="Calibri" w:cs="Calibri"/>
        </w:rPr>
      </w:pPr>
      <w:r w:rsidRPr="00616282">
        <w:rPr>
          <w:rFonts w:ascii="Calibri" w:hAnsi="Calibri" w:cs="Calibri"/>
        </w:rPr>
        <w:lastRenderedPageBreak/>
        <w:t>Risk management</w:t>
      </w:r>
      <w:bookmarkEnd w:id="72"/>
      <w:bookmarkEnd w:id="73"/>
      <w:bookmarkEnd w:id="74"/>
    </w:p>
    <w:p w14:paraId="13A78EF6" w14:textId="77777777" w:rsidR="001015AB" w:rsidRPr="00616282" w:rsidRDefault="001015AB" w:rsidP="00FB0DA0">
      <w:pPr>
        <w:pStyle w:val="ListParagraph"/>
        <w:ind w:left="1080"/>
        <w:contextualSpacing w:val="0"/>
        <w:rPr>
          <w:rFonts w:ascii="Calibri" w:hAnsi="Calibri" w:cs="Calibri"/>
          <w:lang w:val="en-GB"/>
        </w:rPr>
      </w:pPr>
    </w:p>
    <w:p w14:paraId="4035B9CE" w14:textId="10EF4322" w:rsidR="0013088E" w:rsidRPr="00616282" w:rsidRDefault="0013088E" w:rsidP="004001DB">
      <w:pPr>
        <w:jc w:val="both"/>
        <w:rPr>
          <w:rFonts w:ascii="Calibri" w:hAnsi="Calibri" w:cs="Calibri"/>
          <w:b/>
          <w:bCs/>
          <w:color w:val="ED7D31" w:themeColor="accent2"/>
          <w:lang w:val="en-GB"/>
        </w:rPr>
      </w:pPr>
      <w:r w:rsidRPr="00616282">
        <w:rPr>
          <w:rFonts w:ascii="Calibri" w:hAnsi="Calibri" w:cs="Calibri"/>
          <w:color w:val="000000" w:themeColor="text1"/>
          <w:lang w:val="en-GB"/>
        </w:rPr>
        <w:t xml:space="preserve">The </w:t>
      </w:r>
      <w:r w:rsidR="004001DB" w:rsidRPr="00616282">
        <w:rPr>
          <w:rFonts w:ascii="Calibri" w:hAnsi="Calibri" w:cs="Calibri"/>
          <w:color w:val="000000" w:themeColor="text1"/>
          <w:lang w:val="en-GB"/>
        </w:rPr>
        <w:t>CBK’s</w:t>
      </w:r>
      <w:r w:rsidRPr="00616282">
        <w:rPr>
          <w:rFonts w:ascii="Calibri" w:hAnsi="Calibri" w:cs="Calibri"/>
          <w:color w:val="000000" w:themeColor="text1"/>
          <w:lang w:val="en-GB"/>
        </w:rPr>
        <w:t xml:space="preserve"> expectation on climate risk management requires institutions to have documented policies and procedures </w:t>
      </w:r>
      <w:r w:rsidR="00D16D61" w:rsidRPr="00616282">
        <w:rPr>
          <w:rFonts w:ascii="Calibri" w:hAnsi="Calibri" w:cs="Calibri"/>
          <w:color w:val="000000" w:themeColor="text1"/>
          <w:lang w:val="en-GB"/>
        </w:rPr>
        <w:t>to</w:t>
      </w:r>
      <w:r w:rsidRPr="00616282">
        <w:rPr>
          <w:rFonts w:ascii="Calibri" w:hAnsi="Calibri" w:cs="Calibri"/>
          <w:color w:val="000000" w:themeColor="text1"/>
          <w:lang w:val="en-GB"/>
        </w:rPr>
        <w:t xml:space="preserve"> manage</w:t>
      </w:r>
      <w:r w:rsidR="00D16D61" w:rsidRPr="00616282">
        <w:rPr>
          <w:rFonts w:ascii="Calibri" w:hAnsi="Calibri" w:cs="Calibri"/>
          <w:color w:val="000000" w:themeColor="text1"/>
          <w:lang w:val="en-GB"/>
        </w:rPr>
        <w:t xml:space="preserve"> climate-related financial risks </w:t>
      </w:r>
      <w:r w:rsidRPr="00616282">
        <w:rPr>
          <w:rFonts w:ascii="Calibri" w:hAnsi="Calibri" w:cs="Calibri"/>
          <w:color w:val="000000" w:themeColor="text1"/>
          <w:lang w:val="en-GB"/>
        </w:rPr>
        <w:t xml:space="preserve">in a </w:t>
      </w:r>
      <w:r w:rsidRPr="00616282">
        <w:rPr>
          <w:rFonts w:ascii="Calibri" w:hAnsi="Calibri" w:cs="Calibri"/>
          <w:lang w:val="en-GB"/>
        </w:rPr>
        <w:t>proactive manner. Given the evolving nature of climate-related risks, relevant risk management framework</w:t>
      </w:r>
      <w:r w:rsidR="0067774B">
        <w:rPr>
          <w:rFonts w:ascii="Calibri" w:hAnsi="Calibri" w:cs="Calibri"/>
          <w:lang w:val="en-GB"/>
        </w:rPr>
        <w:t>s</w:t>
      </w:r>
      <w:r w:rsidRPr="00616282">
        <w:rPr>
          <w:rFonts w:ascii="Calibri" w:hAnsi="Calibri" w:cs="Calibri"/>
          <w:lang w:val="en-GB"/>
        </w:rPr>
        <w:t xml:space="preserve">, </w:t>
      </w:r>
      <w:r w:rsidR="0014377D" w:rsidRPr="00616282">
        <w:rPr>
          <w:rFonts w:ascii="Calibri" w:hAnsi="Calibri" w:cs="Calibri"/>
          <w:lang w:val="en-GB"/>
        </w:rPr>
        <w:t>policies,</w:t>
      </w:r>
      <w:r w:rsidRPr="00616282">
        <w:rPr>
          <w:rFonts w:ascii="Calibri" w:hAnsi="Calibri" w:cs="Calibri"/>
          <w:lang w:val="en-GB"/>
        </w:rPr>
        <w:t xml:space="preserve"> and procedures, as well as the effectiveness of related internal controls, should be reviewed regularly to keep pace with the changing environment (Section 3.4 of the CBK Guidance on Climate-related Risk Management. 2021).</w:t>
      </w:r>
    </w:p>
    <w:p w14:paraId="2AFC2699" w14:textId="77777777" w:rsidR="0013088E" w:rsidRPr="00616282" w:rsidRDefault="0013088E" w:rsidP="009F0057">
      <w:pPr>
        <w:ind w:left="720"/>
        <w:jc w:val="both"/>
        <w:rPr>
          <w:rFonts w:ascii="Calibri" w:hAnsi="Calibri" w:cs="Calibri"/>
          <w:lang w:val="en-GB"/>
        </w:rPr>
      </w:pPr>
    </w:p>
    <w:p w14:paraId="2FA690DB" w14:textId="756FA7EC" w:rsidR="0041297B" w:rsidRPr="00616282" w:rsidRDefault="009F0057" w:rsidP="00FE78ED">
      <w:pPr>
        <w:jc w:val="both"/>
        <w:rPr>
          <w:rFonts w:ascii="Calibri" w:hAnsi="Calibri" w:cs="Calibri"/>
          <w:lang w:val="en-GB"/>
        </w:rPr>
      </w:pPr>
      <w:r w:rsidRPr="00616282">
        <w:rPr>
          <w:rFonts w:ascii="Calibri" w:hAnsi="Calibri" w:cs="Calibri"/>
          <w:lang w:val="en-GB"/>
        </w:rPr>
        <w:t xml:space="preserve">The objective of disclosing </w:t>
      </w:r>
      <w:r w:rsidR="00CB0BF9" w:rsidRPr="00616282">
        <w:rPr>
          <w:rFonts w:ascii="Calibri" w:hAnsi="Calibri" w:cs="Calibri"/>
          <w:lang w:val="en-GB"/>
        </w:rPr>
        <w:t xml:space="preserve">climate-related </w:t>
      </w:r>
      <w:r w:rsidRPr="00616282">
        <w:rPr>
          <w:rFonts w:ascii="Calibri" w:hAnsi="Calibri" w:cs="Calibri"/>
          <w:lang w:val="en-GB"/>
        </w:rPr>
        <w:t>risk management policies is to understand a bank's approach in identifying, assessing, prioritizing, and monitoring climate-related risks and opportunities. It emphasizes the need for integration of these processes into the bank's overall risk management framework. Specifically, banks should disclose information about their processes and policies for identifying, assessing, and monitoring climate-related risks and opportunities. Additionally, the text highlights the importance of utilizing climate-related scenario analysis to inform the identification of opportunities. Integration of these processes into the bank's overarching risk management process is crucial, and the extent to which this integration occurs should be disclosed.</w:t>
      </w:r>
    </w:p>
    <w:p w14:paraId="57597CC0" w14:textId="77777777" w:rsidR="00C948BD" w:rsidRPr="00616282" w:rsidRDefault="00C948BD" w:rsidP="0046333A">
      <w:pPr>
        <w:rPr>
          <w:rFonts w:ascii="Calibri" w:hAnsi="Calibri" w:cs="Calibri"/>
          <w:b/>
          <w:bCs/>
          <w:color w:val="ED7D31" w:themeColor="accent2"/>
          <w:lang w:val="en-GB"/>
        </w:rPr>
      </w:pPr>
    </w:p>
    <w:p w14:paraId="5CBD2334" w14:textId="0CFAE484" w:rsidR="00BE6B3E" w:rsidRPr="00616282" w:rsidRDefault="00BE6B3E" w:rsidP="00616282">
      <w:pPr>
        <w:rPr>
          <w:rFonts w:ascii="Calibri" w:hAnsi="Calibri" w:cs="Calibri"/>
          <w:b/>
          <w:bCs/>
          <w:color w:val="ED7D31" w:themeColor="accent2"/>
          <w:lang w:val="en-GB"/>
        </w:rPr>
      </w:pPr>
      <w:bookmarkStart w:id="75" w:name="_Toc171908209"/>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15</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Linking CBK, IFRS and BCBS expectations on risk management</w:t>
      </w:r>
      <w:bookmarkEnd w:id="75"/>
    </w:p>
    <w:p w14:paraId="5817F700" w14:textId="77777777" w:rsidR="00C949E2" w:rsidRPr="00616282" w:rsidRDefault="00C949E2" w:rsidP="00C949E2">
      <w:pPr>
        <w:rPr>
          <w:rFonts w:ascii="Calibri" w:hAnsi="Calibri" w:cs="Calibri"/>
          <w:lang w:val="en-GB"/>
        </w:rPr>
      </w:pP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980"/>
        <w:gridCol w:w="2430"/>
        <w:gridCol w:w="2541"/>
      </w:tblGrid>
      <w:tr w:rsidR="00770C44" w:rsidRPr="004725EE" w14:paraId="4EF17CAC" w14:textId="77777777" w:rsidTr="00CB4FD6">
        <w:trPr>
          <w:tblHeader/>
        </w:trPr>
        <w:tc>
          <w:tcPr>
            <w:tcW w:w="2065" w:type="dxa"/>
            <w:shd w:val="clear" w:color="auto" w:fill="FBE4D5" w:themeFill="accent2" w:themeFillTint="33"/>
          </w:tcPr>
          <w:p w14:paraId="35239945"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410" w:type="dxa"/>
            <w:gridSpan w:val="2"/>
            <w:shd w:val="clear" w:color="auto" w:fill="D9D9D9" w:themeFill="background1" w:themeFillShade="D9"/>
          </w:tcPr>
          <w:p w14:paraId="31BBC994"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541" w:type="dxa"/>
            <w:vMerge w:val="restart"/>
            <w:shd w:val="clear" w:color="auto" w:fill="D9D9D9" w:themeFill="background1" w:themeFillShade="D9"/>
          </w:tcPr>
          <w:p w14:paraId="0C31009F" w14:textId="77777777" w:rsidR="00875288" w:rsidRPr="00616282" w:rsidRDefault="00875288" w:rsidP="00B8566F">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Principles</w:t>
            </w:r>
          </w:p>
        </w:tc>
      </w:tr>
      <w:tr w:rsidR="00CF74C0" w:rsidRPr="004725EE" w14:paraId="61157595" w14:textId="77777777" w:rsidTr="00CB4FD6">
        <w:trPr>
          <w:tblHeader/>
        </w:trPr>
        <w:tc>
          <w:tcPr>
            <w:tcW w:w="2065" w:type="dxa"/>
            <w:shd w:val="clear" w:color="auto" w:fill="FBE4D5" w:themeFill="accent2" w:themeFillTint="33"/>
          </w:tcPr>
          <w:p w14:paraId="2148B312" w14:textId="2425F704" w:rsidR="00875288" w:rsidRPr="00616282" w:rsidRDefault="00720E2E"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Risk Management</w:t>
            </w:r>
          </w:p>
        </w:tc>
        <w:tc>
          <w:tcPr>
            <w:tcW w:w="1980" w:type="dxa"/>
            <w:shd w:val="clear" w:color="auto" w:fill="D9D9D9" w:themeFill="background1" w:themeFillShade="D9"/>
          </w:tcPr>
          <w:p w14:paraId="7D0A722E"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430" w:type="dxa"/>
            <w:shd w:val="clear" w:color="auto" w:fill="D9D9D9" w:themeFill="background1" w:themeFillShade="D9"/>
          </w:tcPr>
          <w:p w14:paraId="14CB5B34"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541" w:type="dxa"/>
            <w:vMerge/>
            <w:shd w:val="clear" w:color="auto" w:fill="D9D9D9" w:themeFill="background1" w:themeFillShade="D9"/>
          </w:tcPr>
          <w:p w14:paraId="5876A38B" w14:textId="77777777" w:rsidR="00875288" w:rsidRPr="00616282" w:rsidRDefault="00875288" w:rsidP="00B8566F">
            <w:pPr>
              <w:jc w:val="center"/>
              <w:rPr>
                <w:rFonts w:ascii="Calibri" w:hAnsi="Calibri" w:cs="Calibri"/>
                <w:color w:val="4472C4" w:themeColor="accent1"/>
                <w:lang w:val="en-GB"/>
              </w:rPr>
            </w:pPr>
          </w:p>
        </w:tc>
      </w:tr>
      <w:tr w:rsidR="005E4C08" w:rsidRPr="004725EE" w14:paraId="439A081B" w14:textId="77777777" w:rsidTr="0090701E">
        <w:tc>
          <w:tcPr>
            <w:tcW w:w="2065" w:type="dxa"/>
            <w:vMerge w:val="restart"/>
            <w:shd w:val="clear" w:color="auto" w:fill="FBE4D5" w:themeFill="accent2" w:themeFillTint="33"/>
          </w:tcPr>
          <w:p w14:paraId="10817CC2" w14:textId="77777777" w:rsidR="00D61D17" w:rsidRPr="00616282" w:rsidRDefault="00D61D17" w:rsidP="0067774B">
            <w:pPr>
              <w:rPr>
                <w:rFonts w:ascii="Calibri" w:hAnsi="Calibri" w:cs="Calibri"/>
                <w:b/>
                <w:bCs/>
                <w:color w:val="4472C4" w:themeColor="accent1"/>
                <w:lang w:val="en-GB"/>
              </w:rPr>
            </w:pPr>
          </w:p>
          <w:p w14:paraId="38BE6C1A" w14:textId="14AB73AD"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3.4.2 Risk identification and measurement</w:t>
            </w:r>
          </w:p>
          <w:p w14:paraId="7C45F1FD" w14:textId="77777777" w:rsidR="005E4C08" w:rsidRPr="00616282" w:rsidRDefault="005E4C08" w:rsidP="0067774B">
            <w:pPr>
              <w:rPr>
                <w:rFonts w:ascii="Calibri" w:hAnsi="Calibri" w:cs="Calibri"/>
                <w:b/>
                <w:bCs/>
                <w:color w:val="4472C4" w:themeColor="accent1"/>
                <w:lang w:val="en-GB"/>
              </w:rPr>
            </w:pPr>
          </w:p>
          <w:p w14:paraId="2261813B" w14:textId="77777777"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3.4.3 Monitoring and Reporting</w:t>
            </w:r>
          </w:p>
          <w:p w14:paraId="11A773C0" w14:textId="77777777" w:rsidR="005E4C08" w:rsidRPr="00616282" w:rsidRDefault="005E4C08" w:rsidP="0067774B">
            <w:pPr>
              <w:rPr>
                <w:rFonts w:ascii="Calibri" w:hAnsi="Calibri" w:cs="Calibri"/>
                <w:b/>
                <w:bCs/>
                <w:color w:val="4472C4" w:themeColor="accent1"/>
                <w:lang w:val="en-GB"/>
              </w:rPr>
            </w:pPr>
          </w:p>
          <w:p w14:paraId="56B0C564" w14:textId="601052E2"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3.4.4 Control and Mitigation</w:t>
            </w:r>
          </w:p>
        </w:tc>
        <w:tc>
          <w:tcPr>
            <w:tcW w:w="1980" w:type="dxa"/>
          </w:tcPr>
          <w:p w14:paraId="56917926" w14:textId="7F7FF5EC" w:rsidR="005E4C08" w:rsidRPr="00616282" w:rsidRDefault="005E4C08" w:rsidP="0067774B">
            <w:pPr>
              <w:rPr>
                <w:rFonts w:ascii="Calibri" w:hAnsi="Calibri" w:cs="Calibri"/>
                <w:color w:val="4472C4" w:themeColor="accent1"/>
                <w:lang w:val="en-GB"/>
              </w:rPr>
            </w:pPr>
            <w:r w:rsidRPr="00616282">
              <w:rPr>
                <w:rFonts w:ascii="Calibri" w:hAnsi="Calibri" w:cs="Calibri"/>
                <w:b/>
                <w:bCs/>
                <w:color w:val="4472C4" w:themeColor="accent1"/>
                <w:lang w:val="en-GB"/>
              </w:rPr>
              <w:t xml:space="preserve">Processes to identify, assess, </w:t>
            </w:r>
            <w:r w:rsidR="002B5887" w:rsidRPr="00616282">
              <w:rPr>
                <w:rFonts w:ascii="Calibri" w:hAnsi="Calibri" w:cs="Calibri"/>
                <w:b/>
                <w:bCs/>
                <w:color w:val="4472C4" w:themeColor="accent1"/>
                <w:lang w:val="en-GB"/>
              </w:rPr>
              <w:t>prioritize,</w:t>
            </w:r>
            <w:r w:rsidRPr="00616282">
              <w:rPr>
                <w:rFonts w:ascii="Calibri" w:hAnsi="Calibri" w:cs="Calibri"/>
                <w:b/>
                <w:bCs/>
                <w:color w:val="4472C4" w:themeColor="accent1"/>
                <w:lang w:val="en-GB"/>
              </w:rPr>
              <w:t xml:space="preserve"> and monitor climate-related risks</w:t>
            </w:r>
          </w:p>
        </w:tc>
        <w:tc>
          <w:tcPr>
            <w:tcW w:w="2430" w:type="dxa"/>
          </w:tcPr>
          <w:p w14:paraId="654B3D8E" w14:textId="45EF3256"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prioritize, and monitor climate-related risks, including quantitative and qualitative analysis, prioritization and monitoring of the nature, </w:t>
            </w:r>
            <w:r w:rsidR="0014377D" w:rsidRPr="00616282">
              <w:rPr>
                <w:rFonts w:ascii="Calibri" w:hAnsi="Calibri" w:cs="Calibri"/>
                <w:lang w:val="en-GB"/>
              </w:rPr>
              <w:t>likelihood,</w:t>
            </w:r>
            <w:r w:rsidRPr="00616282">
              <w:rPr>
                <w:rFonts w:ascii="Calibri" w:hAnsi="Calibri" w:cs="Calibri"/>
                <w:lang w:val="en-GB"/>
              </w:rPr>
              <w:t xml:space="preserve"> and magnitude of climate risks.</w:t>
            </w:r>
          </w:p>
          <w:p w14:paraId="12854A94" w14:textId="77777777" w:rsidR="005E4C08" w:rsidRPr="00616282" w:rsidRDefault="005E4C08" w:rsidP="00CB4FD6">
            <w:pPr>
              <w:rPr>
                <w:rFonts w:ascii="Calibri" w:hAnsi="Calibri" w:cs="Calibri"/>
                <w:lang w:val="en-GB"/>
              </w:rPr>
            </w:pPr>
          </w:p>
          <w:p w14:paraId="25E18F42" w14:textId="77777777" w:rsidR="005E4C08" w:rsidRPr="00616282" w:rsidRDefault="005E4C08" w:rsidP="00CB4FD6">
            <w:pPr>
              <w:rPr>
                <w:rFonts w:ascii="Calibri" w:hAnsi="Calibri" w:cs="Calibri"/>
                <w:lang w:val="en-GB"/>
              </w:rPr>
            </w:pPr>
          </w:p>
        </w:tc>
        <w:tc>
          <w:tcPr>
            <w:tcW w:w="2541" w:type="dxa"/>
            <w:vMerge w:val="restart"/>
          </w:tcPr>
          <w:p w14:paraId="3A5018B7" w14:textId="166908B2" w:rsidR="005E4C08" w:rsidRPr="00616282" w:rsidRDefault="005E4C08" w:rsidP="00C35CA5">
            <w:pPr>
              <w:rPr>
                <w:rFonts w:ascii="Calibri" w:hAnsi="Calibri" w:cs="Calibri"/>
                <w:lang w:val="en-GB"/>
              </w:rPr>
            </w:pPr>
            <w:r w:rsidRPr="00616282">
              <w:rPr>
                <w:rFonts w:ascii="Calibri" w:hAnsi="Calibri" w:cs="Calibri"/>
                <w:b/>
                <w:bCs/>
                <w:lang w:val="en-GB"/>
              </w:rPr>
              <w:t>Principle 6:</w:t>
            </w:r>
            <w:r w:rsidRPr="00616282">
              <w:rPr>
                <w:rFonts w:ascii="Calibri" w:hAnsi="Calibri" w:cs="Calibri"/>
                <w:lang w:val="en-GB"/>
              </w:rPr>
              <w:t xml:space="preserve"> Banks should identify, </w:t>
            </w:r>
            <w:r w:rsidR="0014377D" w:rsidRPr="00616282">
              <w:rPr>
                <w:rFonts w:ascii="Calibri" w:hAnsi="Calibri" w:cs="Calibri"/>
                <w:lang w:val="en-GB"/>
              </w:rPr>
              <w:t>monitor,</w:t>
            </w:r>
            <w:r w:rsidRPr="00616282">
              <w:rPr>
                <w:rFonts w:ascii="Calibri" w:hAnsi="Calibri" w:cs="Calibri"/>
                <w:lang w:val="en-GB"/>
              </w:rPr>
              <w:t xml:space="preserve"> and manage all climate-related financial risks that could materially impair their financial condition, including their capital resources and liquidity positions. Banks should ensure that their risk appetite and risk management frameworks consider all material climate-related </w:t>
            </w:r>
            <w:r w:rsidR="00C35CA5">
              <w:rPr>
                <w:rFonts w:ascii="Calibri" w:hAnsi="Calibri" w:cs="Calibri"/>
                <w:lang w:val="en-GB"/>
              </w:rPr>
              <w:t xml:space="preserve">financial risk to </w:t>
            </w:r>
            <w:r w:rsidRPr="00616282">
              <w:rPr>
                <w:rFonts w:ascii="Calibri" w:hAnsi="Calibri" w:cs="Calibri"/>
                <w:lang w:val="en-GB"/>
              </w:rPr>
              <w:t xml:space="preserve">which they are exposed and establish a reliable approach to identifying, measuring, </w:t>
            </w:r>
            <w:r w:rsidR="0014377D" w:rsidRPr="00616282">
              <w:rPr>
                <w:rFonts w:ascii="Calibri" w:hAnsi="Calibri" w:cs="Calibri"/>
                <w:lang w:val="en-GB"/>
              </w:rPr>
              <w:t>monitoring,</w:t>
            </w:r>
            <w:r w:rsidRPr="00616282">
              <w:rPr>
                <w:rFonts w:ascii="Calibri" w:hAnsi="Calibri" w:cs="Calibri"/>
                <w:lang w:val="en-GB"/>
              </w:rPr>
              <w:t xml:space="preserve"> and managing those risks.</w:t>
            </w:r>
          </w:p>
          <w:p w14:paraId="0D7A2F37" w14:textId="77777777" w:rsidR="005E4C08" w:rsidRPr="00616282" w:rsidRDefault="005E4C08" w:rsidP="00CB4FD6">
            <w:pPr>
              <w:rPr>
                <w:rFonts w:ascii="Calibri" w:hAnsi="Calibri" w:cs="Calibri"/>
                <w:lang w:val="en-GB"/>
              </w:rPr>
            </w:pPr>
          </w:p>
          <w:p w14:paraId="59419265" w14:textId="0351B065" w:rsidR="005E4C08" w:rsidRPr="00616282" w:rsidRDefault="005E4C08" w:rsidP="00CB4FD6">
            <w:pPr>
              <w:rPr>
                <w:rFonts w:ascii="Calibri" w:hAnsi="Calibri" w:cs="Calibri"/>
                <w:lang w:val="en-GB"/>
              </w:rPr>
            </w:pPr>
            <w:r w:rsidRPr="00616282">
              <w:rPr>
                <w:rFonts w:ascii="Calibri" w:hAnsi="Calibri" w:cs="Calibri"/>
                <w:b/>
                <w:bCs/>
                <w:lang w:val="en-GB"/>
              </w:rPr>
              <w:lastRenderedPageBreak/>
              <w:t>Principle 12:</w:t>
            </w:r>
            <w:r w:rsidRPr="00616282">
              <w:rPr>
                <w:rFonts w:ascii="Calibri" w:hAnsi="Calibri" w:cs="Calibri"/>
                <w:lang w:val="en-GB"/>
              </w:rPr>
              <w:t xml:space="preserve"> Where appropriate, banks should make use of scenario analysis to assess the resilience of their business models and strategies to a range of plausible climate-related pathways and determine the impact of climate-related risk drivers on their overall risk profile. These analyses should consider physical and transition risks as drivers of credit, market, operational and liquidity risks (</w:t>
            </w:r>
            <w:r w:rsidRPr="00616282">
              <w:rPr>
                <w:rFonts w:ascii="Calibri" w:hAnsi="Calibri" w:cs="Calibri"/>
                <w:b/>
                <w:bCs/>
                <w:lang w:val="en-GB"/>
              </w:rPr>
              <w:t>Principles 8, 9, 10 and 11</w:t>
            </w:r>
            <w:r w:rsidRPr="00616282">
              <w:rPr>
                <w:rFonts w:ascii="Calibri" w:hAnsi="Calibri" w:cs="Calibri"/>
                <w:lang w:val="en-GB"/>
              </w:rPr>
              <w:t>) over a range of relevant time horizons.</w:t>
            </w:r>
          </w:p>
        </w:tc>
      </w:tr>
      <w:tr w:rsidR="005E4C08" w:rsidRPr="004725EE" w14:paraId="0DF03CAC" w14:textId="77777777" w:rsidTr="0090701E">
        <w:tc>
          <w:tcPr>
            <w:tcW w:w="2065" w:type="dxa"/>
            <w:vMerge/>
            <w:shd w:val="clear" w:color="auto" w:fill="FBE4D5" w:themeFill="accent2" w:themeFillTint="33"/>
          </w:tcPr>
          <w:p w14:paraId="58267E55" w14:textId="77777777" w:rsidR="005E4C08" w:rsidRPr="00616282" w:rsidRDefault="005E4C08" w:rsidP="0067774B">
            <w:pPr>
              <w:rPr>
                <w:rFonts w:ascii="Calibri" w:hAnsi="Calibri" w:cs="Calibri"/>
                <w:b/>
                <w:bCs/>
                <w:color w:val="003299"/>
                <w:lang w:val="en-GB"/>
              </w:rPr>
            </w:pPr>
          </w:p>
        </w:tc>
        <w:tc>
          <w:tcPr>
            <w:tcW w:w="1980" w:type="dxa"/>
          </w:tcPr>
          <w:p w14:paraId="57C96F00" w14:textId="567F63B6" w:rsidR="005E4C08" w:rsidRPr="00616282" w:rsidRDefault="005E4C08" w:rsidP="0067774B">
            <w:pPr>
              <w:autoSpaceDE w:val="0"/>
              <w:autoSpaceDN w:val="0"/>
              <w:adjustRightInd w:val="0"/>
              <w:rPr>
                <w:rFonts w:ascii="Calibri" w:hAnsi="Calibri" w:cs="Calibri"/>
                <w:color w:val="4472C4" w:themeColor="accent1"/>
                <w:lang w:val="en-GB"/>
              </w:rPr>
            </w:pPr>
            <w:r w:rsidRPr="00616282">
              <w:rPr>
                <w:rFonts w:ascii="Calibri" w:hAnsi="Calibri" w:cs="Calibri"/>
                <w:b/>
                <w:color w:val="4472C4" w:themeColor="accent1"/>
                <w:lang w:val="en-GB"/>
              </w:rPr>
              <w:t xml:space="preserve">Processes to identify, assess, </w:t>
            </w:r>
            <w:r w:rsidR="0014377D" w:rsidRPr="00616282">
              <w:rPr>
                <w:rFonts w:ascii="Calibri" w:hAnsi="Calibri" w:cs="Calibri"/>
                <w:b/>
                <w:color w:val="4472C4" w:themeColor="accent1"/>
                <w:lang w:val="en-GB"/>
              </w:rPr>
              <w:t>prioritise,</w:t>
            </w:r>
            <w:r w:rsidRPr="00616282">
              <w:rPr>
                <w:rFonts w:ascii="Calibri" w:hAnsi="Calibri" w:cs="Calibri"/>
                <w:b/>
                <w:color w:val="4472C4" w:themeColor="accent1"/>
                <w:lang w:val="en-GB"/>
              </w:rPr>
              <w:t xml:space="preserve"> and monitor</w:t>
            </w:r>
            <w:r w:rsidR="002B5887" w:rsidRPr="00616282">
              <w:rPr>
                <w:rFonts w:ascii="Calibri" w:hAnsi="Calibri" w:cs="Calibri"/>
                <w:b/>
                <w:color w:val="4472C4" w:themeColor="accent1"/>
                <w:lang w:val="en-GB"/>
              </w:rPr>
              <w:t xml:space="preserve"> </w:t>
            </w:r>
            <w:r w:rsidRPr="00616282">
              <w:rPr>
                <w:rFonts w:ascii="Calibri" w:hAnsi="Calibri" w:cs="Calibri"/>
                <w:b/>
                <w:color w:val="4472C4" w:themeColor="accent1"/>
                <w:lang w:val="en-GB"/>
              </w:rPr>
              <w:t>climate-related opportunities, including climate-related scenario analysis)</w:t>
            </w:r>
          </w:p>
        </w:tc>
        <w:tc>
          <w:tcPr>
            <w:tcW w:w="2430" w:type="dxa"/>
          </w:tcPr>
          <w:p w14:paraId="65B430F5" w14:textId="70212F28"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w:t>
            </w:r>
            <w:r w:rsidR="0014377D" w:rsidRPr="00616282">
              <w:rPr>
                <w:rFonts w:ascii="Calibri" w:hAnsi="Calibri" w:cs="Calibri"/>
                <w:lang w:val="en-GB"/>
              </w:rPr>
              <w:t>prioritize,</w:t>
            </w:r>
            <w:r w:rsidRPr="00616282">
              <w:rPr>
                <w:rFonts w:ascii="Calibri" w:hAnsi="Calibri" w:cs="Calibri"/>
                <w:lang w:val="en-GB"/>
              </w:rPr>
              <w:t xml:space="preserve"> and monitor climate-related opportunities, explanation of how the bank uses climate-</w:t>
            </w:r>
            <w:r w:rsidRPr="00616282">
              <w:rPr>
                <w:rFonts w:ascii="Calibri" w:hAnsi="Calibri" w:cs="Calibri"/>
                <w:lang w:val="en-GB"/>
              </w:rPr>
              <w:lastRenderedPageBreak/>
              <w:t>related scenario analysis to inform its identification of climate-related opportunities.</w:t>
            </w:r>
          </w:p>
        </w:tc>
        <w:tc>
          <w:tcPr>
            <w:tcW w:w="2541" w:type="dxa"/>
            <w:vMerge/>
          </w:tcPr>
          <w:p w14:paraId="4CC71EAA" w14:textId="77777777" w:rsidR="005E4C08" w:rsidRPr="00616282" w:rsidRDefault="005E4C08" w:rsidP="0067774B">
            <w:pPr>
              <w:pStyle w:val="NormalWeb"/>
              <w:rPr>
                <w:rFonts w:ascii="Calibri" w:hAnsi="Calibri" w:cs="Calibri"/>
                <w:lang w:val="en-GB"/>
              </w:rPr>
            </w:pPr>
          </w:p>
        </w:tc>
      </w:tr>
      <w:tr w:rsidR="005E4C08" w:rsidRPr="004725EE" w14:paraId="1329FC0A" w14:textId="77777777" w:rsidTr="0090701E">
        <w:tc>
          <w:tcPr>
            <w:tcW w:w="2065" w:type="dxa"/>
            <w:vMerge/>
            <w:shd w:val="clear" w:color="auto" w:fill="FBE4D5" w:themeFill="accent2" w:themeFillTint="33"/>
          </w:tcPr>
          <w:p w14:paraId="5521A1E8" w14:textId="77777777" w:rsidR="005E4C08" w:rsidRPr="00616282" w:rsidRDefault="005E4C08" w:rsidP="0067774B">
            <w:pPr>
              <w:rPr>
                <w:rFonts w:ascii="Calibri" w:hAnsi="Calibri" w:cs="Calibri"/>
                <w:b/>
                <w:bCs/>
                <w:color w:val="003299"/>
                <w:lang w:val="en-GB"/>
              </w:rPr>
            </w:pPr>
          </w:p>
        </w:tc>
        <w:tc>
          <w:tcPr>
            <w:tcW w:w="1980" w:type="dxa"/>
          </w:tcPr>
          <w:p w14:paraId="064D2158" w14:textId="441AFCE7" w:rsidR="005E4C08" w:rsidRPr="00616282" w:rsidRDefault="005E4C08" w:rsidP="0067774B">
            <w:pPr>
              <w:rPr>
                <w:rFonts w:ascii="Calibri" w:hAnsi="Calibri" w:cs="Calibri"/>
                <w:color w:val="4472C4" w:themeColor="accent1"/>
                <w:lang w:val="en-GB"/>
              </w:rPr>
            </w:pPr>
            <w:r w:rsidRPr="00616282">
              <w:rPr>
                <w:rFonts w:ascii="Calibri" w:hAnsi="Calibri" w:cs="Calibri"/>
                <w:b/>
                <w:bCs/>
                <w:color w:val="4472C4" w:themeColor="accent1"/>
                <w:lang w:val="en-GB"/>
              </w:rPr>
              <w:t xml:space="preserve">Processes to identify, assess, </w:t>
            </w:r>
            <w:r w:rsidR="0014377D" w:rsidRPr="00616282">
              <w:rPr>
                <w:rFonts w:ascii="Calibri" w:hAnsi="Calibri" w:cs="Calibri"/>
                <w:b/>
                <w:bCs/>
                <w:color w:val="4472C4" w:themeColor="accent1"/>
                <w:lang w:val="en-GB"/>
              </w:rPr>
              <w:t>prioritize,</w:t>
            </w:r>
            <w:r w:rsidRPr="00616282">
              <w:rPr>
                <w:rFonts w:ascii="Calibri" w:hAnsi="Calibri" w:cs="Calibri"/>
                <w:b/>
                <w:bCs/>
                <w:color w:val="4472C4" w:themeColor="accent1"/>
                <w:lang w:val="en-GB"/>
              </w:rPr>
              <w:t xml:space="preserve"> and monitor climate-related risks</w:t>
            </w:r>
          </w:p>
        </w:tc>
        <w:tc>
          <w:tcPr>
            <w:tcW w:w="2430" w:type="dxa"/>
          </w:tcPr>
          <w:p w14:paraId="5804DB33" w14:textId="5A650EFF"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prioritize, and monitor climate-related risks, including quantitative and qualitative analysis, prioritization and monitoring of the nature, </w:t>
            </w:r>
            <w:r w:rsidR="0014377D" w:rsidRPr="00616282">
              <w:rPr>
                <w:rFonts w:ascii="Calibri" w:hAnsi="Calibri" w:cs="Calibri"/>
                <w:lang w:val="en-GB"/>
              </w:rPr>
              <w:t>likelihood,</w:t>
            </w:r>
            <w:r w:rsidRPr="00616282">
              <w:rPr>
                <w:rFonts w:ascii="Calibri" w:hAnsi="Calibri" w:cs="Calibri"/>
                <w:lang w:val="en-GB"/>
              </w:rPr>
              <w:t xml:space="preserve"> and magnitude of climate risks.</w:t>
            </w:r>
          </w:p>
        </w:tc>
        <w:tc>
          <w:tcPr>
            <w:tcW w:w="2541" w:type="dxa"/>
          </w:tcPr>
          <w:p w14:paraId="47EFF1D0" w14:textId="77777777" w:rsidR="005E4C08" w:rsidRPr="00616282" w:rsidRDefault="005E4C08" w:rsidP="0067774B">
            <w:pPr>
              <w:autoSpaceDE w:val="0"/>
              <w:autoSpaceDN w:val="0"/>
              <w:adjustRightInd w:val="0"/>
              <w:rPr>
                <w:rFonts w:ascii="Calibri" w:hAnsi="Calibri" w:cs="Calibri"/>
                <w:lang w:val="en-GB"/>
              </w:rPr>
            </w:pPr>
            <w:r w:rsidRPr="00616282">
              <w:rPr>
                <w:rFonts w:ascii="Calibri" w:hAnsi="Calibri" w:cs="Calibri"/>
                <w:b/>
                <w:bCs/>
                <w:lang w:val="en-GB"/>
              </w:rPr>
              <w:t>Principle 7</w:t>
            </w:r>
            <w:r w:rsidRPr="00616282">
              <w:rPr>
                <w:rFonts w:ascii="Calibri" w:hAnsi="Calibri" w:cs="Calibri"/>
                <w:lang w:val="en-GB"/>
              </w:rPr>
              <w:t>: Risk data aggregation capabilities and internal risk reporting practices should account for</w:t>
            </w:r>
          </w:p>
          <w:p w14:paraId="4D5A1023" w14:textId="3BAAAF55" w:rsidR="005E4C08" w:rsidRPr="00616282" w:rsidRDefault="005E4C08" w:rsidP="00CB4FD6">
            <w:pPr>
              <w:autoSpaceDE w:val="0"/>
              <w:autoSpaceDN w:val="0"/>
              <w:adjustRightInd w:val="0"/>
              <w:rPr>
                <w:rFonts w:ascii="Calibri" w:hAnsi="Calibri" w:cs="Calibri"/>
                <w:lang w:val="en-GB"/>
              </w:rPr>
            </w:pPr>
            <w:r w:rsidRPr="00616282">
              <w:rPr>
                <w:rFonts w:ascii="Calibri" w:hAnsi="Calibri" w:cs="Calibri"/>
                <w:lang w:val="en-GB"/>
              </w:rPr>
              <w:t>climate-related financial risks. Banks should seek to ensure that their internal reporting systems are capable of monitoring material climate-related financial risks and producing timely information to ensure effective board and senior management decision-making</w:t>
            </w:r>
          </w:p>
        </w:tc>
      </w:tr>
    </w:tbl>
    <w:p w14:paraId="3B770475" w14:textId="77777777" w:rsidR="005C24D1" w:rsidRPr="00616282" w:rsidRDefault="005C24D1" w:rsidP="00FB0DA0">
      <w:pPr>
        <w:outlineLvl w:val="0"/>
        <w:rPr>
          <w:rFonts w:ascii="Calibri" w:hAnsi="Calibri" w:cs="Calibri"/>
          <w:b/>
          <w:bCs/>
          <w:color w:val="ED7D31" w:themeColor="accent2"/>
          <w:lang w:val="en-GB"/>
        </w:rPr>
      </w:pPr>
    </w:p>
    <w:p w14:paraId="226D8385" w14:textId="77777777" w:rsidR="00157082" w:rsidRDefault="00157082">
      <w:pPr>
        <w:rPr>
          <w:rFonts w:ascii="Calibri" w:eastAsiaTheme="majorEastAsia" w:hAnsi="Calibri" w:cs="Calibri"/>
          <w:color w:val="1F3763" w:themeColor="accent1" w:themeShade="7F"/>
          <w:sz w:val="22"/>
          <w:lang w:val="en-GB"/>
        </w:rPr>
      </w:pPr>
      <w:bookmarkStart w:id="76" w:name="_Toc167079302"/>
      <w:bookmarkStart w:id="77" w:name="_Toc167079491"/>
      <w:bookmarkStart w:id="78" w:name="_Toc171908188"/>
      <w:r>
        <w:rPr>
          <w:rFonts w:ascii="Calibri" w:hAnsi="Calibri" w:cs="Calibri"/>
          <w:lang w:val="en-GB"/>
        </w:rPr>
        <w:br w:type="page"/>
      </w:r>
    </w:p>
    <w:p w14:paraId="2E54B2F9" w14:textId="4C34D8C9" w:rsidR="00E87C8D" w:rsidRPr="00616282" w:rsidRDefault="008244BE" w:rsidP="00B720D9">
      <w:pPr>
        <w:pStyle w:val="Heading3"/>
        <w:rPr>
          <w:rFonts w:ascii="Calibri" w:hAnsi="Calibri" w:cs="Calibri"/>
          <w:lang w:val="en-GB"/>
        </w:rPr>
      </w:pPr>
      <w:r w:rsidRPr="00616282">
        <w:rPr>
          <w:rFonts w:ascii="Calibri" w:hAnsi="Calibri" w:cs="Calibri"/>
          <w:lang w:val="en-GB"/>
        </w:rPr>
        <w:lastRenderedPageBreak/>
        <w:t>Best practice</w:t>
      </w:r>
      <w:r w:rsidR="00E87C8D" w:rsidRPr="00616282">
        <w:rPr>
          <w:rFonts w:ascii="Calibri" w:hAnsi="Calibri" w:cs="Calibri"/>
          <w:lang w:val="en-GB"/>
        </w:rPr>
        <w:t xml:space="preserve"> on risk management</w:t>
      </w:r>
      <w:bookmarkEnd w:id="76"/>
      <w:bookmarkEnd w:id="77"/>
      <w:bookmarkEnd w:id="78"/>
    </w:p>
    <w:p w14:paraId="606A959A" w14:textId="77777777" w:rsidR="00EB07C0" w:rsidRPr="00616282" w:rsidRDefault="00EB07C0" w:rsidP="0046333A">
      <w:pPr>
        <w:jc w:val="both"/>
        <w:rPr>
          <w:rFonts w:ascii="Calibri" w:hAnsi="Calibri" w:cs="Calibri"/>
          <w:lang w:val="en-GB"/>
        </w:rPr>
      </w:pPr>
    </w:p>
    <w:p w14:paraId="57414184" w14:textId="24B2DCE2" w:rsidR="00FE35C7" w:rsidRPr="00616282" w:rsidRDefault="00C46F7B" w:rsidP="0046333A">
      <w:pPr>
        <w:jc w:val="both"/>
        <w:rPr>
          <w:rFonts w:ascii="Calibri" w:hAnsi="Calibri" w:cs="Calibri"/>
          <w:lang w:val="en-GB"/>
        </w:rPr>
      </w:pPr>
      <w:r w:rsidRPr="00616282">
        <w:rPr>
          <w:rFonts w:ascii="Calibri" w:hAnsi="Calibri" w:cs="Calibri"/>
          <w:lang w:val="en-GB"/>
        </w:rPr>
        <w:t>Banks should a</w:t>
      </w:r>
      <w:r w:rsidR="004572AA" w:rsidRPr="00616282">
        <w:rPr>
          <w:rFonts w:ascii="Calibri" w:hAnsi="Calibri" w:cs="Calibri"/>
          <w:lang w:val="en-GB"/>
        </w:rPr>
        <w:t>pply</w:t>
      </w:r>
      <w:r w:rsidRPr="00616282">
        <w:rPr>
          <w:rFonts w:ascii="Calibri" w:hAnsi="Calibri" w:cs="Calibri"/>
          <w:lang w:val="en-GB"/>
        </w:rPr>
        <w:t xml:space="preserve"> </w:t>
      </w:r>
      <w:r w:rsidR="001F3E1B" w:rsidRPr="00616282">
        <w:rPr>
          <w:rFonts w:ascii="Calibri" w:hAnsi="Calibri" w:cs="Calibri"/>
          <w:lang w:val="en-GB"/>
        </w:rPr>
        <w:t xml:space="preserve">a robust </w:t>
      </w:r>
      <w:r w:rsidR="004A1983" w:rsidRPr="00616282">
        <w:rPr>
          <w:rFonts w:ascii="Calibri" w:hAnsi="Calibri" w:cs="Calibri"/>
          <w:lang w:val="en-GB"/>
        </w:rPr>
        <w:t xml:space="preserve">climate risk management </w:t>
      </w:r>
      <w:r w:rsidR="0047648C" w:rsidRPr="00616282">
        <w:rPr>
          <w:rFonts w:ascii="Calibri" w:hAnsi="Calibri" w:cs="Calibri"/>
          <w:lang w:val="en-GB"/>
        </w:rPr>
        <w:t>process</w:t>
      </w:r>
      <w:r w:rsidR="004572AA" w:rsidRPr="00616282">
        <w:rPr>
          <w:rFonts w:ascii="Calibri" w:hAnsi="Calibri" w:cs="Calibri"/>
          <w:lang w:val="en-GB"/>
        </w:rPr>
        <w:t xml:space="preserve"> </w:t>
      </w:r>
      <w:r w:rsidR="0090439D" w:rsidRPr="00616282">
        <w:rPr>
          <w:rFonts w:ascii="Calibri" w:hAnsi="Calibri" w:cs="Calibri"/>
          <w:lang w:val="en-GB"/>
        </w:rPr>
        <w:t xml:space="preserve">to safeguard </w:t>
      </w:r>
      <w:r w:rsidR="001F3E1B" w:rsidRPr="00616282">
        <w:rPr>
          <w:rFonts w:ascii="Calibri" w:hAnsi="Calibri" w:cs="Calibri"/>
          <w:lang w:val="en-GB"/>
        </w:rPr>
        <w:t xml:space="preserve">assets </w:t>
      </w:r>
      <w:r w:rsidR="00860A58" w:rsidRPr="00616282">
        <w:rPr>
          <w:rFonts w:ascii="Calibri" w:hAnsi="Calibri" w:cs="Calibri"/>
          <w:lang w:val="en-GB"/>
        </w:rPr>
        <w:t xml:space="preserve">against climate-related risks. </w:t>
      </w:r>
      <w:r w:rsidR="00E8235F" w:rsidRPr="00616282">
        <w:rPr>
          <w:rFonts w:ascii="Calibri" w:hAnsi="Calibri" w:cs="Calibri"/>
          <w:lang w:val="en-GB"/>
        </w:rPr>
        <w:t>T</w:t>
      </w:r>
      <w:r w:rsidR="00FB4E9E" w:rsidRPr="00616282">
        <w:rPr>
          <w:rFonts w:ascii="Calibri" w:hAnsi="Calibri" w:cs="Calibri"/>
          <w:lang w:val="en-GB"/>
        </w:rPr>
        <w:t xml:space="preserve">he process should start with </w:t>
      </w:r>
      <w:r w:rsidR="00FB4E9E" w:rsidRPr="00616282">
        <w:rPr>
          <w:rFonts w:ascii="Calibri" w:hAnsi="Calibri" w:cs="Calibri"/>
          <w:b/>
          <w:bCs/>
          <w:color w:val="4472C4" w:themeColor="accent1"/>
        </w:rPr>
        <w:t>risk identif</w:t>
      </w:r>
      <w:r w:rsidR="00C06999" w:rsidRPr="00616282">
        <w:rPr>
          <w:rFonts w:ascii="Calibri" w:hAnsi="Calibri" w:cs="Calibri"/>
          <w:b/>
          <w:bCs/>
          <w:color w:val="4472C4" w:themeColor="accent1"/>
        </w:rPr>
        <w:t>ication</w:t>
      </w:r>
      <w:r w:rsidR="000B4D2F" w:rsidRPr="00616282">
        <w:rPr>
          <w:rFonts w:ascii="Calibri" w:hAnsi="Calibri" w:cs="Calibri"/>
          <w:lang w:val="en-GB"/>
        </w:rPr>
        <w:t>, where banks would identify</w:t>
      </w:r>
      <w:r w:rsidR="00386484" w:rsidRPr="00616282">
        <w:rPr>
          <w:rFonts w:ascii="Calibri" w:hAnsi="Calibri" w:cs="Calibri"/>
          <w:lang w:val="en-GB"/>
        </w:rPr>
        <w:t xml:space="preserve"> the</w:t>
      </w:r>
      <w:r w:rsidR="000B4D2F" w:rsidRPr="00616282">
        <w:rPr>
          <w:rFonts w:ascii="Calibri" w:hAnsi="Calibri" w:cs="Calibri"/>
          <w:lang w:val="en-GB"/>
        </w:rPr>
        <w:t xml:space="preserve"> potential climate risks</w:t>
      </w:r>
      <w:r w:rsidR="00F97965" w:rsidRPr="00616282">
        <w:rPr>
          <w:rFonts w:ascii="Calibri" w:hAnsi="Calibri" w:cs="Calibri"/>
          <w:lang w:val="en-GB"/>
        </w:rPr>
        <w:t xml:space="preserve"> through </w:t>
      </w:r>
      <w:r w:rsidR="00937A0B" w:rsidRPr="00616282">
        <w:rPr>
          <w:rFonts w:ascii="Calibri" w:hAnsi="Calibri" w:cs="Calibri"/>
          <w:lang w:val="en-GB"/>
        </w:rPr>
        <w:t>materiality assessment</w:t>
      </w:r>
      <w:r w:rsidR="00C35CA5">
        <w:rPr>
          <w:rFonts w:ascii="Calibri" w:hAnsi="Calibri" w:cs="Calibri"/>
          <w:lang w:val="en-GB"/>
        </w:rPr>
        <w:t>,</w:t>
      </w:r>
      <w:r w:rsidR="00EA5446" w:rsidRPr="00616282">
        <w:rPr>
          <w:rFonts w:ascii="Calibri" w:hAnsi="Calibri" w:cs="Calibri"/>
          <w:lang w:val="en-GB"/>
        </w:rPr>
        <w:t xml:space="preserve"> followed by </w:t>
      </w:r>
      <w:r w:rsidR="00EA5446" w:rsidRPr="00616282">
        <w:rPr>
          <w:rFonts w:ascii="Calibri" w:hAnsi="Calibri" w:cs="Calibri"/>
          <w:b/>
          <w:bCs/>
          <w:color w:val="4472C4" w:themeColor="accent1"/>
        </w:rPr>
        <w:t>risk assessment</w:t>
      </w:r>
      <w:r w:rsidR="00EA5446" w:rsidRPr="00616282">
        <w:rPr>
          <w:rFonts w:ascii="Calibri" w:hAnsi="Calibri" w:cs="Calibri"/>
          <w:lang w:val="en-GB"/>
        </w:rPr>
        <w:t xml:space="preserve"> </w:t>
      </w:r>
      <w:r w:rsidR="00C47D0C" w:rsidRPr="00616282">
        <w:rPr>
          <w:rFonts w:ascii="Calibri" w:hAnsi="Calibri" w:cs="Calibri"/>
          <w:lang w:val="en-GB"/>
        </w:rPr>
        <w:t>to identify their exposures against both physical and transition risks</w:t>
      </w:r>
      <w:r w:rsidR="00350867" w:rsidRPr="00616282">
        <w:rPr>
          <w:rFonts w:ascii="Calibri" w:hAnsi="Calibri" w:cs="Calibri"/>
          <w:lang w:val="en-GB"/>
        </w:rPr>
        <w:t xml:space="preserve">. </w:t>
      </w:r>
      <w:r w:rsidR="00C63A77" w:rsidRPr="00616282">
        <w:rPr>
          <w:rFonts w:ascii="Calibri" w:hAnsi="Calibri" w:cs="Calibri"/>
          <w:lang w:val="en-GB"/>
        </w:rPr>
        <w:t xml:space="preserve">Once exposures are assessed, banks should start </w:t>
      </w:r>
      <w:r w:rsidR="00FE35C7" w:rsidRPr="00616282">
        <w:rPr>
          <w:rFonts w:ascii="Calibri" w:hAnsi="Calibri" w:cs="Calibri"/>
          <w:lang w:val="en-GB"/>
        </w:rPr>
        <w:t>exploring</w:t>
      </w:r>
      <w:r w:rsidR="004C2A3A" w:rsidRPr="00616282">
        <w:rPr>
          <w:rFonts w:ascii="Calibri" w:hAnsi="Calibri" w:cs="Calibri"/>
          <w:lang w:val="en-GB"/>
        </w:rPr>
        <w:t xml:space="preserve"> </w:t>
      </w:r>
      <w:r w:rsidR="00340370" w:rsidRPr="00616282">
        <w:rPr>
          <w:rFonts w:ascii="Calibri" w:hAnsi="Calibri" w:cs="Calibri"/>
          <w:lang w:val="en-GB"/>
        </w:rPr>
        <w:t xml:space="preserve">applying portfolio alignment methods to </w:t>
      </w:r>
      <w:r w:rsidR="00A16B2A" w:rsidRPr="00616282">
        <w:rPr>
          <w:rFonts w:ascii="Calibri" w:hAnsi="Calibri" w:cs="Calibri"/>
          <w:lang w:val="en-GB"/>
        </w:rPr>
        <w:t>deli</w:t>
      </w:r>
      <w:r w:rsidR="00A83107" w:rsidRPr="00616282">
        <w:rPr>
          <w:rFonts w:ascii="Calibri" w:hAnsi="Calibri" w:cs="Calibri"/>
          <w:lang w:val="en-GB"/>
        </w:rPr>
        <w:t xml:space="preserve">neate their portfolios against </w:t>
      </w:r>
      <w:r w:rsidR="001855B9" w:rsidRPr="00616282">
        <w:rPr>
          <w:rFonts w:ascii="Calibri" w:hAnsi="Calibri" w:cs="Calibri"/>
          <w:lang w:val="en-GB"/>
        </w:rPr>
        <w:t>LT-LEDS low-carbon pathways for potentially material sectors they finance.</w:t>
      </w:r>
      <w:r w:rsidR="001F3E3B" w:rsidRPr="00616282">
        <w:rPr>
          <w:rFonts w:ascii="Calibri" w:hAnsi="Calibri" w:cs="Calibri"/>
          <w:lang w:val="en-GB"/>
        </w:rPr>
        <w:t xml:space="preserve"> At the very last step, bank should start </w:t>
      </w:r>
      <w:r w:rsidR="00E23244" w:rsidRPr="00616282">
        <w:rPr>
          <w:rFonts w:ascii="Calibri" w:hAnsi="Calibri" w:cs="Calibri"/>
          <w:lang w:val="en-GB"/>
        </w:rPr>
        <w:t>defining</w:t>
      </w:r>
      <w:r w:rsidR="00A671A5" w:rsidRPr="00616282">
        <w:rPr>
          <w:rFonts w:ascii="Calibri" w:hAnsi="Calibri" w:cs="Calibri"/>
          <w:lang w:val="en-GB"/>
        </w:rPr>
        <w:t xml:space="preserve"> methodolog</w:t>
      </w:r>
      <w:r w:rsidR="00E23244" w:rsidRPr="00616282">
        <w:rPr>
          <w:rFonts w:ascii="Calibri" w:hAnsi="Calibri" w:cs="Calibri"/>
          <w:lang w:val="en-GB"/>
        </w:rPr>
        <w:t>ies</w:t>
      </w:r>
      <w:r w:rsidR="00A671A5" w:rsidRPr="00616282">
        <w:rPr>
          <w:rFonts w:ascii="Calibri" w:hAnsi="Calibri" w:cs="Calibri"/>
          <w:lang w:val="en-GB"/>
        </w:rPr>
        <w:t xml:space="preserve"> and approach</w:t>
      </w:r>
      <w:r w:rsidR="00E23244" w:rsidRPr="00616282">
        <w:rPr>
          <w:rFonts w:ascii="Calibri" w:hAnsi="Calibri" w:cs="Calibri"/>
          <w:lang w:val="en-GB"/>
        </w:rPr>
        <w:t>es</w:t>
      </w:r>
      <w:r w:rsidR="00A671A5" w:rsidRPr="00616282">
        <w:rPr>
          <w:rFonts w:ascii="Calibri" w:hAnsi="Calibri" w:cs="Calibri"/>
          <w:lang w:val="en-GB"/>
        </w:rPr>
        <w:t xml:space="preserve"> for conducting climate</w:t>
      </w:r>
      <w:r w:rsidR="00E70B72" w:rsidRPr="00616282">
        <w:rPr>
          <w:rFonts w:ascii="Calibri" w:hAnsi="Calibri" w:cs="Calibri"/>
          <w:lang w:val="en-GB"/>
        </w:rPr>
        <w:t xml:space="preserve"> scenario analysis</w:t>
      </w:r>
      <w:r w:rsidR="00C35CA5">
        <w:rPr>
          <w:rFonts w:ascii="Calibri" w:hAnsi="Calibri" w:cs="Calibri"/>
          <w:lang w:val="en-GB"/>
        </w:rPr>
        <w:t>,</w:t>
      </w:r>
      <w:r w:rsidR="00E70B72" w:rsidRPr="00616282">
        <w:rPr>
          <w:rFonts w:ascii="Calibri" w:hAnsi="Calibri" w:cs="Calibri"/>
          <w:lang w:val="en-GB"/>
        </w:rPr>
        <w:t xml:space="preserve"> including stress-</w:t>
      </w:r>
      <w:r w:rsidR="00A671A5" w:rsidRPr="00616282">
        <w:rPr>
          <w:rFonts w:ascii="Calibri" w:hAnsi="Calibri" w:cs="Calibri"/>
          <w:lang w:val="en-GB"/>
        </w:rPr>
        <w:t>testing</w:t>
      </w:r>
      <w:r w:rsidR="00E70B72" w:rsidRPr="00616282">
        <w:rPr>
          <w:rFonts w:ascii="Calibri" w:hAnsi="Calibri" w:cs="Calibri"/>
          <w:lang w:val="en-GB"/>
        </w:rPr>
        <w:t xml:space="preserve">. </w:t>
      </w:r>
      <w:r w:rsidR="003151D3" w:rsidRPr="00616282">
        <w:rPr>
          <w:rFonts w:ascii="Calibri" w:hAnsi="Calibri" w:cs="Calibri"/>
          <w:lang w:val="en-GB"/>
        </w:rPr>
        <w:t>Banks commonly a</w:t>
      </w:r>
      <w:r w:rsidR="00A671A5" w:rsidRPr="00616282">
        <w:rPr>
          <w:rFonts w:ascii="Calibri" w:hAnsi="Calibri" w:cs="Calibri"/>
          <w:lang w:val="en-GB"/>
        </w:rPr>
        <w:t>d</w:t>
      </w:r>
      <w:r w:rsidR="003151D3" w:rsidRPr="00616282">
        <w:rPr>
          <w:rFonts w:ascii="Calibri" w:hAnsi="Calibri" w:cs="Calibri"/>
          <w:lang w:val="en-GB"/>
        </w:rPr>
        <w:t>apt a</w:t>
      </w:r>
      <w:r w:rsidR="00A671A5" w:rsidRPr="00616282">
        <w:rPr>
          <w:rFonts w:ascii="Calibri" w:hAnsi="Calibri" w:cs="Calibri"/>
          <w:lang w:val="en-GB"/>
        </w:rPr>
        <w:t xml:space="preserve"> selection of climate scenarios to assess macroeconomic and financial risks (</w:t>
      </w:r>
      <w:r w:rsidR="004D0C64" w:rsidRPr="00616282">
        <w:rPr>
          <w:rFonts w:ascii="Calibri" w:hAnsi="Calibri" w:cs="Calibri"/>
          <w:lang w:val="en-GB"/>
        </w:rPr>
        <w:t>e.g.,</w:t>
      </w:r>
      <w:r w:rsidR="00A671A5" w:rsidRPr="00616282">
        <w:rPr>
          <w:rFonts w:ascii="Calibri" w:hAnsi="Calibri" w:cs="Calibri"/>
          <w:lang w:val="en-GB"/>
        </w:rPr>
        <w:t xml:space="preserve"> Network for Greening the Financial </w:t>
      </w:r>
      <w:r w:rsidR="00EE757B" w:rsidRPr="00616282">
        <w:rPr>
          <w:rFonts w:ascii="Calibri" w:hAnsi="Calibri" w:cs="Calibri"/>
          <w:lang w:val="en-GB"/>
        </w:rPr>
        <w:t>System (NGFS) models)</w:t>
      </w:r>
      <w:r w:rsidR="007635F3" w:rsidRPr="00616282">
        <w:rPr>
          <w:rFonts w:ascii="Calibri" w:hAnsi="Calibri" w:cs="Calibri"/>
          <w:lang w:val="en-GB"/>
        </w:rPr>
        <w:t xml:space="preserve"> and calculate the </w:t>
      </w:r>
      <w:r w:rsidR="00B040F6" w:rsidRPr="00616282">
        <w:rPr>
          <w:rFonts w:ascii="Calibri" w:hAnsi="Calibri" w:cs="Calibri"/>
          <w:lang w:val="en-GB"/>
        </w:rPr>
        <w:t xml:space="preserve">difference between stressed portfolio PD and baseline PD values </w:t>
      </w:r>
      <w:r w:rsidR="004B6E92" w:rsidRPr="00616282">
        <w:rPr>
          <w:rFonts w:ascii="Calibri" w:hAnsi="Calibri" w:cs="Calibri"/>
          <w:lang w:val="en-GB"/>
        </w:rPr>
        <w:t>to</w:t>
      </w:r>
      <w:r w:rsidR="00B040F6" w:rsidRPr="00616282">
        <w:rPr>
          <w:rFonts w:ascii="Calibri" w:hAnsi="Calibri" w:cs="Calibri"/>
          <w:lang w:val="en-GB"/>
        </w:rPr>
        <w:t xml:space="preserve"> allocate</w:t>
      </w:r>
      <w:r w:rsidR="00E23244" w:rsidRPr="00616282">
        <w:rPr>
          <w:rFonts w:ascii="Calibri" w:hAnsi="Calibri" w:cs="Calibri"/>
          <w:lang w:val="en-GB"/>
        </w:rPr>
        <w:t xml:space="preserve"> additional capital buffers </w:t>
      </w:r>
      <w:r w:rsidR="00FE35C7" w:rsidRPr="00616282">
        <w:rPr>
          <w:rFonts w:ascii="Calibri" w:hAnsi="Calibri" w:cs="Calibri"/>
          <w:lang w:val="en-GB"/>
        </w:rPr>
        <w:t xml:space="preserve">for </w:t>
      </w:r>
      <w:r w:rsidR="00C35CA5">
        <w:rPr>
          <w:rFonts w:ascii="Calibri" w:hAnsi="Calibri" w:cs="Calibri"/>
          <w:lang w:val="en-GB"/>
        </w:rPr>
        <w:t>those</w:t>
      </w:r>
      <w:r w:rsidR="00C35CA5" w:rsidRPr="00616282">
        <w:rPr>
          <w:rFonts w:ascii="Calibri" w:hAnsi="Calibri" w:cs="Calibri"/>
          <w:lang w:val="en-GB"/>
        </w:rPr>
        <w:t xml:space="preserve"> </w:t>
      </w:r>
      <w:r w:rsidR="00FE35C7" w:rsidRPr="00616282">
        <w:rPr>
          <w:rFonts w:ascii="Calibri" w:hAnsi="Calibri" w:cs="Calibri"/>
          <w:lang w:val="en-GB"/>
        </w:rPr>
        <w:t>surpassing internal materiality thresholds.</w:t>
      </w:r>
    </w:p>
    <w:p w14:paraId="4301B0DB" w14:textId="77777777" w:rsidR="004B6E92" w:rsidRPr="00616282" w:rsidRDefault="004B6E92" w:rsidP="00EB07C0">
      <w:pPr>
        <w:rPr>
          <w:rFonts w:ascii="Calibri" w:hAnsi="Calibri" w:cs="Calibri"/>
          <w:lang w:val="en-GB"/>
        </w:rPr>
      </w:pPr>
    </w:p>
    <w:p w14:paraId="72357800" w14:textId="7A1CB611" w:rsidR="004B6E92" w:rsidRPr="00616282" w:rsidRDefault="003151D3">
      <w:pPr>
        <w:rPr>
          <w:rFonts w:ascii="Calibri" w:hAnsi="Calibri" w:cs="Calibri"/>
          <w:b/>
          <w:bCs/>
          <w:color w:val="ED7D31" w:themeColor="accent2"/>
          <w:lang w:val="en-GB"/>
        </w:rPr>
      </w:pPr>
      <w:bookmarkStart w:id="79" w:name="_Toc175223825"/>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10</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Climate Risk Management Process (explanatory)</w:t>
      </w:r>
      <w:bookmarkEnd w:id="79"/>
    </w:p>
    <w:p w14:paraId="7BE48CB3" w14:textId="77777777" w:rsidR="003B2AB0" w:rsidRPr="00616282" w:rsidRDefault="003B2AB0" w:rsidP="00616282">
      <w:pPr>
        <w:rPr>
          <w:rFonts w:ascii="Calibri" w:hAnsi="Calibri" w:cs="Calibri"/>
          <w:b/>
          <w:bCs/>
          <w:color w:val="ED7D31" w:themeColor="accent2"/>
          <w:lang w:val="en-GB"/>
        </w:rPr>
      </w:pPr>
    </w:p>
    <w:p w14:paraId="23E75492" w14:textId="47977D6E" w:rsidR="00446278" w:rsidRPr="00616282" w:rsidRDefault="00571F99" w:rsidP="00616282">
      <w:pPr>
        <w:jc w:val="center"/>
        <w:rPr>
          <w:rFonts w:ascii="Calibri" w:hAnsi="Calibri" w:cs="Calibri"/>
        </w:rPr>
      </w:pPr>
      <w:r w:rsidRPr="00616282">
        <w:rPr>
          <w:rFonts w:ascii="Calibri" w:hAnsi="Calibri" w:cs="Calibri"/>
          <w:noProof/>
        </w:rPr>
        <w:drawing>
          <wp:inline distT="0" distB="0" distL="0" distR="0" wp14:anchorId="1BD4EFC3" wp14:editId="7D1FBDD5">
            <wp:extent cx="4294319" cy="2686685"/>
            <wp:effectExtent l="0" t="0" r="0" b="0"/>
            <wp:docPr id="4" name="Picture 3" descr="A diagram of a risk management&#10;&#10;Description automatically generated">
              <a:extLst xmlns:a="http://schemas.openxmlformats.org/drawingml/2006/main">
                <a:ext uri="{FF2B5EF4-FFF2-40B4-BE49-F238E27FC236}">
                  <a16:creationId xmlns:a16="http://schemas.microsoft.com/office/drawing/2014/main" id="{6655DF82-768E-182A-A7E4-AB7F55361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diagram of a risk management&#10;&#10;Description automatically generated">
                      <a:extLst>
                        <a:ext uri="{FF2B5EF4-FFF2-40B4-BE49-F238E27FC236}">
                          <a16:creationId xmlns:a16="http://schemas.microsoft.com/office/drawing/2014/main" id="{6655DF82-768E-182A-A7E4-AB7F55361FE1}"/>
                        </a:ext>
                      </a:extLst>
                    </pic:cNvPr>
                    <pic:cNvPicPr>
                      <a:picLocks noChangeAspect="1"/>
                    </pic:cNvPicPr>
                  </pic:nvPicPr>
                  <pic:blipFill>
                    <a:blip r:embed="rId35"/>
                    <a:stretch>
                      <a:fillRect/>
                    </a:stretch>
                  </pic:blipFill>
                  <pic:spPr>
                    <a:xfrm>
                      <a:off x="0" y="0"/>
                      <a:ext cx="4299691" cy="2690046"/>
                    </a:xfrm>
                    <a:prstGeom prst="rect">
                      <a:avLst/>
                    </a:prstGeom>
                  </pic:spPr>
                </pic:pic>
              </a:graphicData>
            </a:graphic>
          </wp:inline>
        </w:drawing>
      </w:r>
    </w:p>
    <w:p w14:paraId="2C83E785" w14:textId="77777777" w:rsidR="004C102B" w:rsidRPr="00616282" w:rsidRDefault="004C102B" w:rsidP="00DF7099">
      <w:pPr>
        <w:rPr>
          <w:rFonts w:ascii="Calibri" w:hAnsi="Calibri" w:cs="Calibri"/>
        </w:rPr>
      </w:pPr>
    </w:p>
    <w:p w14:paraId="4B2D2EE6" w14:textId="7CD07F4C" w:rsidR="001C0DCA" w:rsidRPr="00616282" w:rsidRDefault="00377CB1" w:rsidP="0046333A">
      <w:pPr>
        <w:jc w:val="both"/>
        <w:rPr>
          <w:rFonts w:ascii="Calibri" w:hAnsi="Calibri" w:cs="Calibri"/>
        </w:rPr>
      </w:pPr>
      <w:r w:rsidRPr="00616282">
        <w:rPr>
          <w:rFonts w:ascii="Calibri" w:hAnsi="Calibri" w:cs="Calibri"/>
        </w:rPr>
        <w:t xml:space="preserve">As banks progress in assessing the climate risks through different </w:t>
      </w:r>
      <w:r w:rsidR="009747B6" w:rsidRPr="00616282">
        <w:rPr>
          <w:rFonts w:ascii="Calibri" w:hAnsi="Calibri" w:cs="Calibri"/>
        </w:rPr>
        <w:t xml:space="preserve">methods, they should start adjusting internal </w:t>
      </w:r>
      <w:r w:rsidR="009747B6" w:rsidRPr="00616282">
        <w:rPr>
          <w:rFonts w:ascii="Calibri" w:hAnsi="Calibri" w:cs="Calibri"/>
          <w:b/>
          <w:bCs/>
          <w:color w:val="4472C4" w:themeColor="accent1"/>
        </w:rPr>
        <w:t>risk management</w:t>
      </w:r>
      <w:r w:rsidR="009747B6" w:rsidRPr="00616282">
        <w:rPr>
          <w:rFonts w:ascii="Calibri" w:hAnsi="Calibri" w:cs="Calibri"/>
        </w:rPr>
        <w:t xml:space="preserve"> practices and i</w:t>
      </w:r>
      <w:r w:rsidR="00866074" w:rsidRPr="00616282">
        <w:rPr>
          <w:rFonts w:ascii="Calibri" w:hAnsi="Calibri" w:cs="Calibri"/>
        </w:rPr>
        <w:t>nclud</w:t>
      </w:r>
      <w:r w:rsidR="00C807D2">
        <w:rPr>
          <w:rFonts w:ascii="Calibri" w:hAnsi="Calibri" w:cs="Calibri"/>
        </w:rPr>
        <w:t>e</w:t>
      </w:r>
      <w:r w:rsidR="00866074" w:rsidRPr="00616282">
        <w:rPr>
          <w:rFonts w:ascii="Calibri" w:hAnsi="Calibri" w:cs="Calibri"/>
        </w:rPr>
        <w:t xml:space="preserve"> climate factors in the </w:t>
      </w:r>
      <w:r w:rsidR="00866074" w:rsidRPr="00616282">
        <w:rPr>
          <w:rFonts w:ascii="Calibri" w:hAnsi="Calibri" w:cs="Calibri"/>
          <w:b/>
          <w:bCs/>
        </w:rPr>
        <w:t>due diligence procedures</w:t>
      </w:r>
      <w:r w:rsidR="00866074" w:rsidRPr="00616282">
        <w:rPr>
          <w:rFonts w:ascii="Calibri" w:hAnsi="Calibri" w:cs="Calibri"/>
        </w:rPr>
        <w:t xml:space="preserve">. Such procedures would propose a set of </w:t>
      </w:r>
      <w:r w:rsidR="00481CEC" w:rsidRPr="00616282">
        <w:rPr>
          <w:rFonts w:ascii="Calibri" w:hAnsi="Calibri" w:cs="Calibri"/>
          <w:b/>
          <w:bCs/>
        </w:rPr>
        <w:t>client questionnaires</w:t>
      </w:r>
      <w:r w:rsidR="00481CEC" w:rsidRPr="00616282">
        <w:rPr>
          <w:rFonts w:ascii="Calibri" w:hAnsi="Calibri" w:cs="Calibri"/>
        </w:rPr>
        <w:t xml:space="preserve"> </w:t>
      </w:r>
      <w:r w:rsidR="00CA4B84" w:rsidRPr="00616282">
        <w:rPr>
          <w:rFonts w:ascii="Calibri" w:hAnsi="Calibri" w:cs="Calibri"/>
        </w:rPr>
        <w:t xml:space="preserve">(including </w:t>
      </w:r>
      <w:r w:rsidR="002D2BA2" w:rsidRPr="00616282">
        <w:rPr>
          <w:rFonts w:ascii="Calibri" w:hAnsi="Calibri" w:cs="Calibri"/>
        </w:rPr>
        <w:t xml:space="preserve">exclusion criteria </w:t>
      </w:r>
      <w:r w:rsidR="00F57B3F" w:rsidRPr="00616282">
        <w:rPr>
          <w:rFonts w:ascii="Calibri" w:hAnsi="Calibri" w:cs="Calibri"/>
        </w:rPr>
        <w:t>in lending policies)</w:t>
      </w:r>
      <w:r w:rsidR="006A2FA3" w:rsidRPr="00616282">
        <w:rPr>
          <w:rFonts w:ascii="Calibri" w:hAnsi="Calibri" w:cs="Calibri"/>
        </w:rPr>
        <w:t xml:space="preserve"> to understand </w:t>
      </w:r>
      <w:r w:rsidR="00C807D2">
        <w:rPr>
          <w:rFonts w:ascii="Calibri" w:hAnsi="Calibri" w:cs="Calibri"/>
        </w:rPr>
        <w:t xml:space="preserve">the </w:t>
      </w:r>
      <w:r w:rsidR="00C4135D" w:rsidRPr="00616282">
        <w:rPr>
          <w:rFonts w:ascii="Calibri" w:hAnsi="Calibri" w:cs="Calibri"/>
        </w:rPr>
        <w:t xml:space="preserve">level of risk that clients are facing </w:t>
      </w:r>
      <w:r w:rsidR="008040A1" w:rsidRPr="00616282">
        <w:rPr>
          <w:rFonts w:ascii="Calibri" w:hAnsi="Calibri" w:cs="Calibri"/>
        </w:rPr>
        <w:t>and to make informed credit decisions</w:t>
      </w:r>
      <w:r w:rsidR="00BB40E6" w:rsidRPr="00616282">
        <w:rPr>
          <w:rFonts w:ascii="Calibri" w:hAnsi="Calibri" w:cs="Calibri"/>
        </w:rPr>
        <w:t xml:space="preserve"> (for example</w:t>
      </w:r>
      <w:r w:rsidR="00C807D2">
        <w:rPr>
          <w:rFonts w:ascii="Calibri" w:hAnsi="Calibri" w:cs="Calibri"/>
        </w:rPr>
        <w:t>,</w:t>
      </w:r>
      <w:r w:rsidR="00BB40E6" w:rsidRPr="00616282">
        <w:rPr>
          <w:rFonts w:ascii="Calibri" w:hAnsi="Calibri" w:cs="Calibri"/>
        </w:rPr>
        <w:t xml:space="preserve"> </w:t>
      </w:r>
      <w:r w:rsidR="00E20852" w:rsidRPr="00616282">
        <w:rPr>
          <w:rFonts w:ascii="Calibri" w:hAnsi="Calibri" w:cs="Calibri"/>
        </w:rPr>
        <w:t>granting credit or intensifying monitoring</w:t>
      </w:r>
      <w:r w:rsidR="00C807D2">
        <w:rPr>
          <w:rFonts w:ascii="Calibri" w:hAnsi="Calibri" w:cs="Calibri"/>
        </w:rPr>
        <w:t>)</w:t>
      </w:r>
      <w:r w:rsidR="003F0007" w:rsidRPr="00616282">
        <w:rPr>
          <w:rFonts w:ascii="Calibri" w:hAnsi="Calibri" w:cs="Calibri"/>
        </w:rPr>
        <w:t>.</w:t>
      </w:r>
    </w:p>
    <w:p w14:paraId="2BC659A5" w14:textId="77777777" w:rsidR="001C0DCA" w:rsidRPr="00616282" w:rsidRDefault="001C0DCA" w:rsidP="0046333A">
      <w:pPr>
        <w:jc w:val="both"/>
        <w:rPr>
          <w:rFonts w:ascii="Calibri" w:hAnsi="Calibri" w:cs="Calibri"/>
        </w:rPr>
      </w:pPr>
    </w:p>
    <w:p w14:paraId="3CFDC167" w14:textId="1BD0918B" w:rsidR="001C0DCA" w:rsidRPr="00616282" w:rsidRDefault="001C0DCA" w:rsidP="0046333A">
      <w:pPr>
        <w:jc w:val="both"/>
        <w:rPr>
          <w:rFonts w:ascii="Calibri" w:hAnsi="Calibri" w:cs="Calibri"/>
        </w:rPr>
      </w:pPr>
      <w:r w:rsidRPr="00616282">
        <w:rPr>
          <w:rFonts w:ascii="Calibri" w:hAnsi="Calibri" w:cs="Calibri"/>
        </w:rPr>
        <w:t xml:space="preserve">The client questionnaire should collect the client and asset-specific data needed to assess relevant transition and physical risk drivers. This includes both quantitative and qualitative risk data. The </w:t>
      </w:r>
      <w:r w:rsidR="00154A8D" w:rsidRPr="00616282">
        <w:rPr>
          <w:rFonts w:ascii="Calibri" w:hAnsi="Calibri" w:cs="Calibri"/>
        </w:rPr>
        <w:t xml:space="preserve">figure </w:t>
      </w:r>
      <w:r w:rsidRPr="00616282">
        <w:rPr>
          <w:rFonts w:ascii="Calibri" w:hAnsi="Calibri" w:cs="Calibri"/>
        </w:rPr>
        <w:t>below provides a non-exhaustive overview of observed practices in this regard.</w:t>
      </w:r>
    </w:p>
    <w:p w14:paraId="0EB19F45" w14:textId="77777777" w:rsidR="00363B88" w:rsidRPr="00616282" w:rsidRDefault="00363B88" w:rsidP="0046333A">
      <w:pPr>
        <w:jc w:val="both"/>
        <w:rPr>
          <w:rFonts w:ascii="Calibri" w:hAnsi="Calibri" w:cs="Calibri"/>
        </w:rPr>
      </w:pPr>
    </w:p>
    <w:p w14:paraId="1966ABB9" w14:textId="77777777" w:rsidR="00157082" w:rsidRDefault="00157082">
      <w:pPr>
        <w:rPr>
          <w:rFonts w:ascii="Calibri" w:hAnsi="Calibri" w:cs="Calibri"/>
          <w:b/>
          <w:bCs/>
          <w:color w:val="ED7D31" w:themeColor="accent2"/>
          <w:lang w:val="en-GB"/>
        </w:rPr>
      </w:pPr>
      <w:r>
        <w:rPr>
          <w:rFonts w:ascii="Calibri" w:hAnsi="Calibri" w:cs="Calibri"/>
          <w:b/>
          <w:bCs/>
          <w:color w:val="ED7D31" w:themeColor="accent2"/>
          <w:lang w:val="en-GB"/>
        </w:rPr>
        <w:br w:type="page"/>
      </w:r>
    </w:p>
    <w:p w14:paraId="6969E2D1" w14:textId="6D2C2644" w:rsidR="00866074" w:rsidRDefault="00363B88" w:rsidP="00616282">
      <w:pPr>
        <w:rPr>
          <w:rFonts w:ascii="Calibri" w:hAnsi="Calibri" w:cs="Calibri"/>
          <w:b/>
          <w:bCs/>
          <w:color w:val="ED7D31" w:themeColor="accent2"/>
          <w:lang w:val="en-GB"/>
        </w:rPr>
      </w:pPr>
      <w:bookmarkStart w:id="80" w:name="_Toc175223826"/>
      <w:r w:rsidRPr="00616282">
        <w:rPr>
          <w:rFonts w:ascii="Calibri" w:hAnsi="Calibri" w:cs="Calibri"/>
          <w:b/>
          <w:bCs/>
          <w:color w:val="ED7D31" w:themeColor="accent2"/>
          <w:lang w:val="en-GB"/>
        </w:rPr>
        <w:lastRenderedPageBreak/>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List of data items collected to inform risk assessment during due diligence.</w:t>
      </w:r>
      <w:bookmarkEnd w:id="80"/>
    </w:p>
    <w:p w14:paraId="6438CCCC" w14:textId="77777777" w:rsidR="00157082" w:rsidRPr="00616282" w:rsidRDefault="00157082" w:rsidP="00616282">
      <w:pPr>
        <w:rPr>
          <w:rFonts w:ascii="Calibri" w:hAnsi="Calibri" w:cs="Calibri"/>
          <w:b/>
          <w:bCs/>
          <w:color w:val="ED7D31" w:themeColor="accent2"/>
          <w:lang w:val="en-GB"/>
        </w:rPr>
      </w:pPr>
    </w:p>
    <w:p w14:paraId="20FB1524" w14:textId="0EA52D81" w:rsidR="00972B1D" w:rsidRPr="00616282" w:rsidRDefault="003B2AB0" w:rsidP="0090701E">
      <w:pPr>
        <w:jc w:val="center"/>
        <w:rPr>
          <w:rFonts w:ascii="Calibri" w:hAnsi="Calibri" w:cs="Calibri"/>
        </w:rPr>
      </w:pPr>
      <w:r w:rsidRPr="00616282">
        <w:rPr>
          <w:rFonts w:ascii="Calibri" w:hAnsi="Calibri" w:cs="Calibri"/>
          <w:noProof/>
        </w:rPr>
        <w:drawing>
          <wp:inline distT="0" distB="0" distL="0" distR="0" wp14:anchorId="36B38F33" wp14:editId="7CC90C69">
            <wp:extent cx="5370514" cy="2901244"/>
            <wp:effectExtent l="0" t="0" r="1905" b="0"/>
            <wp:docPr id="11232731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273144" name=""/>
                    <pic:cNvPicPr/>
                  </pic:nvPicPr>
                  <pic:blipFill>
                    <a:blip r:embed="rId36"/>
                    <a:stretch>
                      <a:fillRect/>
                    </a:stretch>
                  </pic:blipFill>
                  <pic:spPr>
                    <a:xfrm>
                      <a:off x="0" y="0"/>
                      <a:ext cx="5376683" cy="2904577"/>
                    </a:xfrm>
                    <a:prstGeom prst="rect">
                      <a:avLst/>
                    </a:prstGeom>
                  </pic:spPr>
                </pic:pic>
              </a:graphicData>
            </a:graphic>
          </wp:inline>
        </w:drawing>
      </w:r>
    </w:p>
    <w:p w14:paraId="20FE4828" w14:textId="0B033F3F" w:rsidR="00363B88" w:rsidRPr="006D2FA9" w:rsidRDefault="00855E01" w:rsidP="00C33A89">
      <w:pPr>
        <w:rPr>
          <w:rFonts w:ascii="Calibri" w:hAnsi="Calibri" w:cs="Calibri"/>
          <w:sz w:val="20"/>
          <w:szCs w:val="20"/>
          <w:lang w:val="en-GB"/>
        </w:rPr>
      </w:pPr>
      <w:r w:rsidRPr="006D2FA9">
        <w:rPr>
          <w:rFonts w:ascii="Calibri" w:hAnsi="Calibri" w:cs="Calibri"/>
          <w:b/>
          <w:bCs/>
          <w:sz w:val="20"/>
          <w:szCs w:val="20"/>
          <w:lang w:val="en-GB"/>
        </w:rPr>
        <w:t>Source</w:t>
      </w:r>
      <w:r w:rsidRPr="006D2FA9">
        <w:rPr>
          <w:rFonts w:ascii="Calibri" w:hAnsi="Calibri" w:cs="Calibri"/>
          <w:sz w:val="20"/>
          <w:szCs w:val="20"/>
          <w:lang w:val="en-GB"/>
        </w:rPr>
        <w:t xml:space="preserve">: </w:t>
      </w:r>
      <w:r w:rsidR="00B7558A">
        <w:rPr>
          <w:rFonts w:ascii="Calibri" w:hAnsi="Calibri" w:cs="Calibri"/>
          <w:sz w:val="20"/>
          <w:szCs w:val="20"/>
          <w:lang w:val="en-GB"/>
        </w:rPr>
        <w:t>European Central Bank (</w:t>
      </w:r>
      <w:r w:rsidRPr="006D2FA9">
        <w:rPr>
          <w:rFonts w:ascii="Calibri" w:hAnsi="Calibri" w:cs="Calibri"/>
          <w:sz w:val="20"/>
          <w:szCs w:val="20"/>
          <w:lang w:val="en-GB"/>
        </w:rPr>
        <w:t>ECB</w:t>
      </w:r>
      <w:r w:rsidR="00B7558A">
        <w:rPr>
          <w:rFonts w:ascii="Calibri" w:hAnsi="Calibri" w:cs="Calibri"/>
          <w:sz w:val="20"/>
          <w:szCs w:val="20"/>
          <w:lang w:val="en-GB"/>
        </w:rPr>
        <w:t>)</w:t>
      </w:r>
      <w:r w:rsidR="00975AB5" w:rsidRPr="006D2FA9">
        <w:rPr>
          <w:rFonts w:ascii="Calibri" w:hAnsi="Calibri" w:cs="Calibri"/>
          <w:sz w:val="20"/>
          <w:szCs w:val="20"/>
          <w:lang w:val="en-GB"/>
        </w:rPr>
        <w:t xml:space="preserve">. </w:t>
      </w:r>
      <w:r w:rsidR="00C33A89" w:rsidRPr="006D2FA9">
        <w:rPr>
          <w:rFonts w:ascii="Calibri" w:hAnsi="Calibri" w:cs="Calibri"/>
          <w:sz w:val="20"/>
          <w:szCs w:val="20"/>
          <w:lang w:val="en-GB"/>
        </w:rPr>
        <w:t>2022. Good practices for climate</w:t>
      </w:r>
      <w:r w:rsidR="006D2FA9">
        <w:rPr>
          <w:rFonts w:ascii="Calibri" w:hAnsi="Calibri" w:cs="Calibri"/>
          <w:sz w:val="20"/>
          <w:szCs w:val="20"/>
          <w:lang w:val="en-GB"/>
        </w:rPr>
        <w:t>-</w:t>
      </w:r>
      <w:r w:rsidR="00C33A89" w:rsidRPr="006D2FA9">
        <w:rPr>
          <w:rFonts w:ascii="Calibri" w:hAnsi="Calibri" w:cs="Calibri"/>
          <w:sz w:val="20"/>
          <w:szCs w:val="20"/>
          <w:lang w:val="en-GB"/>
        </w:rPr>
        <w:t>related and environmental</w:t>
      </w:r>
      <w:r w:rsidR="006D2FA9">
        <w:rPr>
          <w:rFonts w:ascii="Calibri" w:hAnsi="Calibri" w:cs="Calibri"/>
          <w:sz w:val="20"/>
          <w:szCs w:val="20"/>
          <w:lang w:val="en-GB"/>
        </w:rPr>
        <w:t xml:space="preserve"> </w:t>
      </w:r>
      <w:r w:rsidR="00C33A89" w:rsidRPr="006D2FA9">
        <w:rPr>
          <w:rFonts w:ascii="Calibri" w:hAnsi="Calibri" w:cs="Calibri"/>
          <w:sz w:val="20"/>
          <w:szCs w:val="20"/>
          <w:lang w:val="en-GB"/>
        </w:rPr>
        <w:t>risk management</w:t>
      </w:r>
      <w:r w:rsidR="006D2FA9" w:rsidRPr="006D2FA9">
        <w:rPr>
          <w:rFonts w:ascii="Calibri" w:hAnsi="Calibri" w:cs="Calibri"/>
          <w:sz w:val="20"/>
          <w:szCs w:val="20"/>
          <w:lang w:val="en-GB"/>
        </w:rPr>
        <w:t xml:space="preserve">. </w:t>
      </w:r>
    </w:p>
    <w:p w14:paraId="76A24029" w14:textId="77777777" w:rsidR="006D2FA9" w:rsidRPr="00616282" w:rsidRDefault="006D2FA9" w:rsidP="00C33A89">
      <w:pPr>
        <w:rPr>
          <w:rFonts w:ascii="Calibri" w:hAnsi="Calibri" w:cs="Calibri"/>
          <w:lang w:val="en-GB"/>
        </w:rPr>
      </w:pPr>
    </w:p>
    <w:p w14:paraId="6B6B529C" w14:textId="3FFCEDA3" w:rsidR="00595070" w:rsidRPr="00616282" w:rsidRDefault="00595070" w:rsidP="00616282">
      <w:pPr>
        <w:jc w:val="both"/>
        <w:rPr>
          <w:rFonts w:ascii="Calibri" w:hAnsi="Calibri" w:cs="Calibri"/>
          <w:lang w:val="en-GB"/>
        </w:rPr>
      </w:pPr>
      <w:bookmarkStart w:id="81" w:name="_Toc167079303"/>
      <w:bookmarkStart w:id="82" w:name="_Toc167079492"/>
      <w:r w:rsidRPr="00616282">
        <w:rPr>
          <w:rFonts w:ascii="Calibri" w:hAnsi="Calibri" w:cs="Calibri"/>
          <w:lang w:val="en-GB"/>
        </w:rPr>
        <w:t xml:space="preserve">The questionnaires can be used to classify clients with different risk scores through stand-alone </w:t>
      </w:r>
      <w:r w:rsidRPr="00616282">
        <w:rPr>
          <w:rFonts w:ascii="Calibri" w:hAnsi="Calibri" w:cs="Calibri"/>
          <w:b/>
          <w:lang w:val="en-GB"/>
        </w:rPr>
        <w:t>climate scorecards</w:t>
      </w:r>
      <w:r w:rsidRPr="00616282">
        <w:rPr>
          <w:rFonts w:ascii="Calibri" w:hAnsi="Calibri" w:cs="Calibri"/>
          <w:lang w:val="en-GB"/>
        </w:rPr>
        <w:t xml:space="preserve"> for clients, for example featuring an adapted traffic light system with standardised levels (</w:t>
      </w:r>
      <w:r w:rsidR="004D0C64" w:rsidRPr="00616282">
        <w:rPr>
          <w:rFonts w:ascii="Calibri" w:hAnsi="Calibri" w:cs="Calibri"/>
          <w:lang w:val="en-GB"/>
        </w:rPr>
        <w:t>i.e.,</w:t>
      </w:r>
      <w:r w:rsidRPr="00616282">
        <w:rPr>
          <w:rFonts w:ascii="Calibri" w:hAnsi="Calibri" w:cs="Calibri"/>
          <w:lang w:val="en-GB"/>
        </w:rPr>
        <w:t xml:space="preserve"> green, amber, and red). The scorecard </w:t>
      </w:r>
      <w:r w:rsidR="007E0062">
        <w:rPr>
          <w:rFonts w:ascii="Calibri" w:hAnsi="Calibri" w:cs="Calibri"/>
          <w:lang w:val="en-GB"/>
        </w:rPr>
        <w:t xml:space="preserve">can </w:t>
      </w:r>
      <w:r w:rsidRPr="00616282">
        <w:rPr>
          <w:rFonts w:ascii="Calibri" w:hAnsi="Calibri" w:cs="Calibri"/>
          <w:lang w:val="en-GB"/>
        </w:rPr>
        <w:t>then be factored into the discussions on lending decisions and credit files in the respective credit committees. In some cases, the banks could integrate the outcome of the client scorecard in its PD-rating system in a qualitative manner. For example, by setting concrete criteria that trigger a downward override of the PD rating if the scorecard is poor or through the integration of qualitative climate-related findings in the business risk or business environment assessment component of the PD rating system.</w:t>
      </w:r>
      <w:bookmarkEnd w:id="81"/>
      <w:bookmarkEnd w:id="82"/>
    </w:p>
    <w:p w14:paraId="26D4FD19" w14:textId="77777777" w:rsidR="00595070" w:rsidRPr="00616282" w:rsidRDefault="00595070" w:rsidP="00B720D9">
      <w:pPr>
        <w:rPr>
          <w:rFonts w:ascii="Calibri" w:hAnsi="Calibri" w:cs="Calibri"/>
          <w:lang w:val="en-GB"/>
        </w:rPr>
      </w:pPr>
    </w:p>
    <w:p w14:paraId="652F0645" w14:textId="5B938017" w:rsidR="00321B2E" w:rsidRPr="00616282" w:rsidRDefault="00321B2E" w:rsidP="00AC3D10">
      <w:pPr>
        <w:jc w:val="both"/>
        <w:rPr>
          <w:rFonts w:ascii="Calibri" w:hAnsi="Calibri" w:cs="Calibri"/>
          <w:lang w:val="en-GB"/>
        </w:rPr>
      </w:pPr>
      <w:r w:rsidRPr="00616282">
        <w:rPr>
          <w:rFonts w:ascii="Calibri" w:hAnsi="Calibri" w:cs="Calibri"/>
          <w:lang w:val="en-GB"/>
        </w:rPr>
        <w:t>The following illustrations provide an overview on how some banks</w:t>
      </w:r>
      <w:r w:rsidR="00235880" w:rsidRPr="00616282">
        <w:rPr>
          <w:rFonts w:ascii="Calibri" w:hAnsi="Calibri" w:cs="Calibri"/>
          <w:lang w:val="en-GB"/>
        </w:rPr>
        <w:t xml:space="preserve"> adjusted their due diligence proc</w:t>
      </w:r>
      <w:r w:rsidR="00CB2525" w:rsidRPr="00616282">
        <w:rPr>
          <w:rFonts w:ascii="Calibri" w:hAnsi="Calibri" w:cs="Calibri"/>
          <w:lang w:val="en-GB"/>
        </w:rPr>
        <w:t>edures</w:t>
      </w:r>
      <w:r w:rsidR="00235880" w:rsidRPr="00616282">
        <w:rPr>
          <w:rFonts w:ascii="Calibri" w:hAnsi="Calibri" w:cs="Calibri"/>
          <w:lang w:val="en-GB"/>
        </w:rPr>
        <w:t xml:space="preserve"> in conjugation with </w:t>
      </w:r>
      <w:r w:rsidR="00CB2525" w:rsidRPr="00616282">
        <w:rPr>
          <w:rFonts w:ascii="Calibri" w:hAnsi="Calibri" w:cs="Calibri"/>
          <w:lang w:val="en-GB"/>
        </w:rPr>
        <w:t xml:space="preserve">internal </w:t>
      </w:r>
      <w:r w:rsidR="00235880" w:rsidRPr="00616282">
        <w:rPr>
          <w:rFonts w:ascii="Calibri" w:hAnsi="Calibri" w:cs="Calibri"/>
          <w:lang w:val="en-GB"/>
        </w:rPr>
        <w:t>engagement approaches</w:t>
      </w:r>
      <w:r w:rsidRPr="00616282">
        <w:rPr>
          <w:rFonts w:ascii="Calibri" w:hAnsi="Calibri" w:cs="Calibri"/>
          <w:lang w:val="en-GB"/>
        </w:rPr>
        <w:t xml:space="preserve">. While the illustrations are summaries, </w:t>
      </w:r>
      <w:r w:rsidR="00872D16" w:rsidRPr="00616282">
        <w:rPr>
          <w:rFonts w:ascii="Calibri" w:hAnsi="Calibri" w:cs="Calibri"/>
          <w:lang w:val="en-GB"/>
        </w:rPr>
        <w:t>there is a substantial amount of effort related to assembling i</w:t>
      </w:r>
      <w:r w:rsidRPr="00616282">
        <w:rPr>
          <w:rFonts w:ascii="Calibri" w:hAnsi="Calibri" w:cs="Calibri"/>
          <w:lang w:val="en-GB"/>
        </w:rPr>
        <w:t>nputs and parameters</w:t>
      </w:r>
      <w:r w:rsidR="00872D16" w:rsidRPr="00616282">
        <w:rPr>
          <w:rFonts w:ascii="Calibri" w:hAnsi="Calibri" w:cs="Calibri"/>
          <w:lang w:val="en-GB"/>
        </w:rPr>
        <w:t xml:space="preserve"> to understand </w:t>
      </w:r>
      <w:r w:rsidRPr="00616282">
        <w:rPr>
          <w:rFonts w:ascii="Calibri" w:hAnsi="Calibri" w:cs="Calibri"/>
          <w:lang w:val="en-GB"/>
        </w:rPr>
        <w:t xml:space="preserve">the nature, </w:t>
      </w:r>
      <w:r w:rsidR="0014377D" w:rsidRPr="00616282">
        <w:rPr>
          <w:rFonts w:ascii="Calibri" w:hAnsi="Calibri" w:cs="Calibri"/>
          <w:lang w:val="en-GB"/>
        </w:rPr>
        <w:t>likelihood,</w:t>
      </w:r>
      <w:r w:rsidRPr="00616282">
        <w:rPr>
          <w:rFonts w:ascii="Calibri" w:hAnsi="Calibri" w:cs="Calibri"/>
          <w:lang w:val="en-GB"/>
        </w:rPr>
        <w:t xml:space="preserve"> and magnitude of the effects of </w:t>
      </w:r>
      <w:r w:rsidR="00872D16" w:rsidRPr="00616282">
        <w:rPr>
          <w:rFonts w:ascii="Calibri" w:hAnsi="Calibri" w:cs="Calibri"/>
          <w:lang w:val="en-GB"/>
        </w:rPr>
        <w:t>climate</w:t>
      </w:r>
      <w:r w:rsidRPr="00616282">
        <w:rPr>
          <w:rFonts w:ascii="Calibri" w:hAnsi="Calibri" w:cs="Calibri"/>
          <w:lang w:val="en-GB"/>
        </w:rPr>
        <w:t xml:space="preserve"> risks </w:t>
      </w:r>
      <w:r w:rsidR="00872D16" w:rsidRPr="00616282">
        <w:rPr>
          <w:rFonts w:ascii="Calibri" w:hAnsi="Calibri" w:cs="Calibri"/>
          <w:lang w:val="en-GB"/>
        </w:rPr>
        <w:t xml:space="preserve">and opportunities, their prioritization, </w:t>
      </w:r>
      <w:r w:rsidR="009C4B32" w:rsidRPr="00616282">
        <w:rPr>
          <w:rFonts w:ascii="Calibri" w:hAnsi="Calibri" w:cs="Calibri"/>
          <w:lang w:val="en-GB"/>
        </w:rPr>
        <w:t>management,</w:t>
      </w:r>
      <w:r w:rsidR="00872D16" w:rsidRPr="00616282">
        <w:rPr>
          <w:rFonts w:ascii="Calibri" w:hAnsi="Calibri" w:cs="Calibri"/>
          <w:lang w:val="en-GB"/>
        </w:rPr>
        <w:t xml:space="preserve"> and monitoring. </w:t>
      </w:r>
      <w:r w:rsidR="00C0484D" w:rsidRPr="00616282">
        <w:rPr>
          <w:rFonts w:ascii="Calibri" w:hAnsi="Calibri" w:cs="Calibri"/>
          <w:lang w:val="en-GB"/>
        </w:rPr>
        <w:t xml:space="preserve">Lastly, these efforts are dynamic, as they require </w:t>
      </w:r>
      <w:r w:rsidR="007E0062">
        <w:rPr>
          <w:rFonts w:ascii="Calibri" w:hAnsi="Calibri" w:cs="Calibri"/>
          <w:lang w:val="en-GB"/>
        </w:rPr>
        <w:t>an</w:t>
      </w:r>
      <w:r w:rsidR="007E0062" w:rsidRPr="00616282">
        <w:rPr>
          <w:rFonts w:ascii="Calibri" w:hAnsi="Calibri" w:cs="Calibri"/>
          <w:lang w:val="en-GB"/>
        </w:rPr>
        <w:t xml:space="preserve"> </w:t>
      </w:r>
      <w:r w:rsidR="00C0484D" w:rsidRPr="00616282">
        <w:rPr>
          <w:rFonts w:ascii="Calibri" w:hAnsi="Calibri" w:cs="Calibri"/>
          <w:lang w:val="en-GB"/>
        </w:rPr>
        <w:t>understand</w:t>
      </w:r>
      <w:r w:rsidR="007E0062">
        <w:rPr>
          <w:rFonts w:ascii="Calibri" w:hAnsi="Calibri" w:cs="Calibri"/>
          <w:lang w:val="en-GB"/>
        </w:rPr>
        <w:t>ing of</w:t>
      </w:r>
      <w:r w:rsidR="00C0484D" w:rsidRPr="00616282">
        <w:rPr>
          <w:rFonts w:ascii="Calibri" w:hAnsi="Calibri" w:cs="Calibri"/>
          <w:lang w:val="en-GB"/>
        </w:rPr>
        <w:t xml:space="preserve"> how these risks can </w:t>
      </w:r>
      <w:r w:rsidR="007E0062">
        <w:rPr>
          <w:rFonts w:ascii="Calibri" w:hAnsi="Calibri" w:cs="Calibri"/>
          <w:lang w:val="en-GB"/>
        </w:rPr>
        <w:t xml:space="preserve">also </w:t>
      </w:r>
      <w:r w:rsidR="00C0484D" w:rsidRPr="00616282">
        <w:rPr>
          <w:rFonts w:ascii="Calibri" w:hAnsi="Calibri" w:cs="Calibri"/>
          <w:lang w:val="en-GB"/>
        </w:rPr>
        <w:t xml:space="preserve">be translated to opportunities over time, </w:t>
      </w:r>
      <w:r w:rsidR="001C5812" w:rsidRPr="00616282">
        <w:rPr>
          <w:rFonts w:ascii="Calibri" w:hAnsi="Calibri" w:cs="Calibri"/>
          <w:lang w:val="en-GB"/>
        </w:rPr>
        <w:t>using</w:t>
      </w:r>
      <w:r w:rsidR="00C0484D" w:rsidRPr="00616282">
        <w:rPr>
          <w:rFonts w:ascii="Calibri" w:hAnsi="Calibri" w:cs="Calibri"/>
          <w:lang w:val="en-GB"/>
        </w:rPr>
        <w:t xml:space="preserve"> </w:t>
      </w:r>
      <w:r w:rsidRPr="00616282">
        <w:rPr>
          <w:rFonts w:ascii="Calibri" w:hAnsi="Calibri" w:cs="Calibri"/>
          <w:lang w:val="en-GB"/>
        </w:rPr>
        <w:t>climate-related scenario analysis to inform</w:t>
      </w:r>
      <w:r w:rsidR="00B8566F" w:rsidRPr="00616282">
        <w:rPr>
          <w:rFonts w:ascii="Calibri" w:hAnsi="Calibri" w:cs="Calibri"/>
          <w:lang w:val="en-GB"/>
        </w:rPr>
        <w:t xml:space="preserve"> </w:t>
      </w:r>
      <w:r w:rsidR="007E0062">
        <w:rPr>
          <w:rFonts w:ascii="Calibri" w:hAnsi="Calibri" w:cs="Calibri"/>
          <w:lang w:val="en-GB"/>
        </w:rPr>
        <w:t>the</w:t>
      </w:r>
      <w:r w:rsidR="007E0062" w:rsidRPr="00616282">
        <w:rPr>
          <w:rFonts w:ascii="Calibri" w:hAnsi="Calibri" w:cs="Calibri"/>
          <w:lang w:val="en-GB"/>
        </w:rPr>
        <w:t xml:space="preserve"> </w:t>
      </w:r>
      <w:r w:rsidRPr="00616282">
        <w:rPr>
          <w:rFonts w:ascii="Calibri" w:hAnsi="Calibri" w:cs="Calibri"/>
          <w:lang w:val="en-GB"/>
        </w:rPr>
        <w:t>identification of climate-related opportunities</w:t>
      </w:r>
      <w:r w:rsidR="00AC3D10" w:rsidRPr="00616282">
        <w:rPr>
          <w:rFonts w:ascii="Calibri" w:hAnsi="Calibri" w:cs="Calibri"/>
          <w:lang w:val="en-GB"/>
        </w:rPr>
        <w:t xml:space="preserve">, and the </w:t>
      </w:r>
      <w:r w:rsidRPr="00616282">
        <w:rPr>
          <w:rFonts w:ascii="Calibri" w:hAnsi="Calibri" w:cs="Calibri"/>
          <w:lang w:val="en-GB"/>
        </w:rPr>
        <w:t>integrat</w:t>
      </w:r>
      <w:r w:rsidR="00AC3D10" w:rsidRPr="00616282">
        <w:rPr>
          <w:rFonts w:ascii="Calibri" w:hAnsi="Calibri" w:cs="Calibri"/>
          <w:lang w:val="en-GB"/>
        </w:rPr>
        <w:t>ion</w:t>
      </w:r>
      <w:r w:rsidRPr="00616282">
        <w:rPr>
          <w:rFonts w:ascii="Calibri" w:hAnsi="Calibri" w:cs="Calibri"/>
          <w:lang w:val="en-GB"/>
        </w:rPr>
        <w:t xml:space="preserve"> into the entity’s overall risk management process.</w:t>
      </w:r>
    </w:p>
    <w:p w14:paraId="12728EC0" w14:textId="77777777" w:rsidR="00EB3FEE" w:rsidRPr="00616282" w:rsidRDefault="00EB3FEE" w:rsidP="00DF7099">
      <w:pPr>
        <w:rPr>
          <w:rFonts w:ascii="Calibri" w:hAnsi="Calibri" w:cs="Calibri"/>
        </w:rPr>
      </w:pPr>
    </w:p>
    <w:p w14:paraId="153328D9" w14:textId="77777777" w:rsidR="00157082" w:rsidRDefault="00157082">
      <w:r>
        <w:br w:type="page"/>
      </w: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639"/>
      </w:tblGrid>
      <w:tr w:rsidR="003202BA" w:rsidRPr="004725EE" w14:paraId="15770C63" w14:textId="77777777" w:rsidTr="00616EF0">
        <w:trPr>
          <w:trHeight w:val="739"/>
        </w:trPr>
        <w:tc>
          <w:tcPr>
            <w:tcW w:w="9639" w:type="dxa"/>
          </w:tcPr>
          <w:p w14:paraId="6338873D" w14:textId="59D35394" w:rsidR="003202BA" w:rsidRPr="00616282" w:rsidRDefault="003202BA" w:rsidP="00616EF0">
            <w:pPr>
              <w:rPr>
                <w:rFonts w:ascii="Calibri" w:hAnsi="Calibri" w:cs="Calibri"/>
                <w:b/>
                <w:bCs/>
                <w:color w:val="ED7D31" w:themeColor="accent2"/>
                <w:lang w:val="en-GB"/>
              </w:rPr>
            </w:pPr>
            <w:bookmarkStart w:id="83" w:name="_Toc175223827"/>
            <w:r w:rsidRPr="00616282">
              <w:rPr>
                <w:rFonts w:ascii="Calibri" w:hAnsi="Calibri" w:cs="Calibri"/>
                <w:b/>
                <w:bCs/>
                <w:color w:val="ED7D31" w:themeColor="accent2"/>
                <w:lang w:val="en-GB"/>
              </w:rPr>
              <w:lastRenderedPageBreak/>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TD Bank engagement topics for power and energy sector</w:t>
            </w:r>
            <w:bookmarkEnd w:id="83"/>
          </w:p>
        </w:tc>
      </w:tr>
      <w:tr w:rsidR="003202BA" w:rsidRPr="004725EE" w14:paraId="3069D74C" w14:textId="77777777" w:rsidTr="00616EF0">
        <w:trPr>
          <w:trHeight w:val="4201"/>
        </w:trPr>
        <w:tc>
          <w:tcPr>
            <w:tcW w:w="9639" w:type="dxa"/>
            <w:vAlign w:val="center"/>
          </w:tcPr>
          <w:p w14:paraId="084DB383" w14:textId="060896EB" w:rsidR="003202BA" w:rsidRPr="00616282" w:rsidRDefault="00616EF0" w:rsidP="00616EF0">
            <w:pPr>
              <w:pStyle w:val="Caption"/>
              <w:jc w:val="center"/>
              <w:rPr>
                <w:rFonts w:ascii="Calibri" w:hAnsi="Calibri" w:cs="Calibri"/>
                <w:b/>
                <w:i w:val="0"/>
                <w:iCs w:val="0"/>
                <w:color w:val="ED7D31" w:themeColor="accent2"/>
                <w:sz w:val="24"/>
                <w:szCs w:val="24"/>
                <w:lang w:val="en-GB"/>
              </w:rPr>
            </w:pPr>
            <w:r>
              <w:rPr>
                <w:rFonts w:ascii="Calibri" w:hAnsi="Calibri" w:cs="Calibri"/>
                <w:b/>
                <w:i w:val="0"/>
                <w:iCs w:val="0"/>
                <w:noProof/>
                <w:color w:val="ED7D31" w:themeColor="accent2"/>
                <w:sz w:val="24"/>
                <w:szCs w:val="24"/>
                <w:lang w:val="en-GB"/>
                <w14:ligatures w14:val="standardContextual"/>
              </w:rPr>
              <w:drawing>
                <wp:inline distT="0" distB="0" distL="0" distR="0" wp14:anchorId="12926541" wp14:editId="06E02783">
                  <wp:extent cx="4279900" cy="3120704"/>
                  <wp:effectExtent l="0" t="0" r="6350" b="3810"/>
                  <wp:docPr id="9641846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184651" name="Picture 5"/>
                          <pic:cNvPicPr/>
                        </pic:nvPicPr>
                        <pic:blipFill rotWithShape="1">
                          <a:blip r:embed="rId37">
                            <a:extLst>
                              <a:ext uri="{BEBA8EAE-BF5A-486C-A8C5-ECC9F3942E4B}">
                                <a14:imgProps xmlns:a14="http://schemas.microsoft.com/office/drawing/2010/main">
                                  <a14:imgLayer r:embed="rId38">
                                    <a14:imgEffect>
                                      <a14:brightnessContrast bright="20000" contrast="-40000"/>
                                    </a14:imgEffect>
                                  </a14:imgLayer>
                                </a14:imgProps>
                              </a:ext>
                              <a:ext uri="{28A0092B-C50C-407E-A947-70E740481C1C}">
                                <a14:useLocalDpi xmlns:a14="http://schemas.microsoft.com/office/drawing/2010/main" val="0"/>
                              </a:ext>
                            </a:extLst>
                          </a:blip>
                          <a:srcRect b="2684"/>
                          <a:stretch/>
                        </pic:blipFill>
                        <pic:spPr bwMode="auto">
                          <a:xfrm>
                            <a:off x="0" y="0"/>
                            <a:ext cx="4280120" cy="3120865"/>
                          </a:xfrm>
                          <a:prstGeom prst="rect">
                            <a:avLst/>
                          </a:prstGeom>
                          <a:ln>
                            <a:noFill/>
                          </a:ln>
                          <a:extLst>
                            <a:ext uri="{53640926-AAD7-44D8-BBD7-CCE9431645EC}">
                              <a14:shadowObscured xmlns:a14="http://schemas.microsoft.com/office/drawing/2010/main"/>
                            </a:ext>
                          </a:extLst>
                        </pic:spPr>
                      </pic:pic>
                    </a:graphicData>
                  </a:graphic>
                </wp:inline>
              </w:drawing>
            </w:r>
          </w:p>
        </w:tc>
      </w:tr>
      <w:tr w:rsidR="003202BA" w:rsidRPr="004725EE" w14:paraId="458EE719" w14:textId="77777777" w:rsidTr="00616EF0">
        <w:trPr>
          <w:trHeight w:val="265"/>
        </w:trPr>
        <w:tc>
          <w:tcPr>
            <w:tcW w:w="9639" w:type="dxa"/>
          </w:tcPr>
          <w:p w14:paraId="6BA7A901" w14:textId="6F803DC6" w:rsidR="003202BA" w:rsidRPr="00616282" w:rsidRDefault="003202BA" w:rsidP="00321B2E">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TD Bank. 2022. Climate Action Report.</w:t>
            </w:r>
          </w:p>
        </w:tc>
      </w:tr>
      <w:tr w:rsidR="003202BA" w:rsidRPr="004725EE" w14:paraId="22913279" w14:textId="77777777" w:rsidTr="00616EF0">
        <w:trPr>
          <w:trHeight w:val="255"/>
        </w:trPr>
        <w:tc>
          <w:tcPr>
            <w:tcW w:w="9639" w:type="dxa"/>
          </w:tcPr>
          <w:p w14:paraId="371CD6CC" w14:textId="77777777" w:rsidR="003202BA" w:rsidRPr="00616282" w:rsidRDefault="003202BA" w:rsidP="00321B2E">
            <w:pPr>
              <w:jc w:val="center"/>
              <w:rPr>
                <w:rFonts w:ascii="Calibri" w:hAnsi="Calibri" w:cs="Calibri"/>
                <w:b/>
                <w:bCs/>
                <w:sz w:val="20"/>
                <w:szCs w:val="20"/>
              </w:rPr>
            </w:pPr>
          </w:p>
        </w:tc>
      </w:tr>
      <w:tr w:rsidR="003202BA" w:rsidRPr="004725EE" w14:paraId="57B0A771" w14:textId="77777777" w:rsidTr="00616EF0">
        <w:trPr>
          <w:trHeight w:val="936"/>
        </w:trPr>
        <w:tc>
          <w:tcPr>
            <w:tcW w:w="9639" w:type="dxa"/>
          </w:tcPr>
          <w:p w14:paraId="343FDABB" w14:textId="64CD1D72" w:rsidR="003202BA" w:rsidRPr="00616282" w:rsidRDefault="003202BA" w:rsidP="00616EF0">
            <w:pPr>
              <w:rPr>
                <w:rFonts w:ascii="Calibri" w:hAnsi="Calibri" w:cs="Calibri"/>
                <w:b/>
                <w:bCs/>
                <w:sz w:val="20"/>
                <w:szCs w:val="20"/>
              </w:rPr>
            </w:pPr>
            <w:bookmarkStart w:id="84" w:name="_Toc175223828"/>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BNP Paribas ESG assessment tool to identify, assess and monitor the performance and ESG risks of corporate clients by sector</w:t>
            </w:r>
            <w:bookmarkEnd w:id="84"/>
          </w:p>
        </w:tc>
      </w:tr>
      <w:tr w:rsidR="003202BA" w:rsidRPr="004725EE" w14:paraId="28ABCD24" w14:textId="77777777" w:rsidTr="00616EF0">
        <w:trPr>
          <w:trHeight w:val="2691"/>
        </w:trPr>
        <w:tc>
          <w:tcPr>
            <w:tcW w:w="9639" w:type="dxa"/>
          </w:tcPr>
          <w:p w14:paraId="37720F3E" w14:textId="73DBC269" w:rsidR="003202BA" w:rsidRPr="00616282" w:rsidRDefault="003202BA" w:rsidP="00321B2E">
            <w:pPr>
              <w:jc w:val="center"/>
              <w:rPr>
                <w:rFonts w:ascii="Calibri" w:hAnsi="Calibri" w:cs="Calibri"/>
                <w:b/>
                <w:bCs/>
                <w:sz w:val="20"/>
                <w:szCs w:val="20"/>
              </w:rPr>
            </w:pPr>
            <w:r>
              <w:rPr>
                <w:rFonts w:ascii="Calibri" w:hAnsi="Calibri" w:cs="Calibri"/>
                <w:b/>
                <w:bCs/>
                <w:noProof/>
                <w:sz w:val="20"/>
                <w:szCs w:val="20"/>
              </w:rPr>
              <w:drawing>
                <wp:inline distT="0" distB="0" distL="0" distR="0" wp14:anchorId="3FB0AA74" wp14:editId="67346581">
                  <wp:extent cx="5067165" cy="2237105"/>
                  <wp:effectExtent l="0" t="0" r="635" b="0"/>
                  <wp:docPr id="19265046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76951" cy="2241425"/>
                          </a:xfrm>
                          <a:prstGeom prst="rect">
                            <a:avLst/>
                          </a:prstGeom>
                          <a:noFill/>
                        </pic:spPr>
                      </pic:pic>
                    </a:graphicData>
                  </a:graphic>
                </wp:inline>
              </w:drawing>
            </w:r>
          </w:p>
        </w:tc>
      </w:tr>
      <w:tr w:rsidR="003202BA" w:rsidRPr="004725EE" w14:paraId="08608C68" w14:textId="77777777" w:rsidTr="00616EF0">
        <w:trPr>
          <w:trHeight w:val="265"/>
        </w:trPr>
        <w:tc>
          <w:tcPr>
            <w:tcW w:w="9639" w:type="dxa"/>
          </w:tcPr>
          <w:p w14:paraId="0AB8C607" w14:textId="0CAA4745" w:rsidR="003202BA" w:rsidRPr="00616282" w:rsidRDefault="003202BA" w:rsidP="003202BA">
            <w:pPr>
              <w:jc w:val="center"/>
              <w:rPr>
                <w:rFonts w:ascii="Calibri" w:hAnsi="Calibri" w:cs="Calibri"/>
                <w:b/>
                <w:bCs/>
                <w:sz w:val="20"/>
                <w:szCs w:val="20"/>
              </w:rPr>
            </w:pPr>
            <w:r w:rsidRPr="00616282">
              <w:rPr>
                <w:rFonts w:ascii="Calibri" w:hAnsi="Calibri" w:cs="Calibri"/>
                <w:b/>
                <w:bCs/>
                <w:sz w:val="20"/>
                <w:szCs w:val="20"/>
              </w:rPr>
              <w:t>Source</w:t>
            </w:r>
            <w:r w:rsidRPr="00616282">
              <w:rPr>
                <w:rFonts w:ascii="Calibri" w:hAnsi="Calibri" w:cs="Calibri"/>
                <w:sz w:val="20"/>
                <w:szCs w:val="20"/>
              </w:rPr>
              <w:t>: BNP Paribas. 2022. Climate Report</w:t>
            </w:r>
          </w:p>
        </w:tc>
      </w:tr>
    </w:tbl>
    <w:p w14:paraId="31892A7B" w14:textId="77777777" w:rsidR="001015AB" w:rsidRPr="00616282" w:rsidRDefault="001015AB" w:rsidP="00F954E3">
      <w:pPr>
        <w:rPr>
          <w:rFonts w:ascii="Calibri" w:hAnsi="Calibri" w:cs="Calibri"/>
          <w:lang w:val="en-GB"/>
        </w:rPr>
      </w:pPr>
    </w:p>
    <w:p w14:paraId="218C11A2" w14:textId="0C3C95CF" w:rsidR="00321AAA" w:rsidRPr="00616282" w:rsidRDefault="00321AAA" w:rsidP="00F954E3">
      <w:pPr>
        <w:rPr>
          <w:rFonts w:ascii="Calibri" w:hAnsi="Calibri" w:cs="Calibri"/>
          <w:bCs/>
          <w:lang w:val="en-GB"/>
        </w:rPr>
      </w:pPr>
      <w:bookmarkStart w:id="85" w:name="_Toc167079304"/>
      <w:r w:rsidRPr="00616282">
        <w:rPr>
          <w:rFonts w:ascii="Calibri" w:hAnsi="Calibri" w:cs="Calibri"/>
          <w:bCs/>
          <w:lang w:val="en-GB"/>
        </w:rPr>
        <w:t xml:space="preserve">The Framework Templates </w:t>
      </w:r>
      <w:r w:rsidR="00D84074" w:rsidRPr="00616282">
        <w:rPr>
          <w:rFonts w:ascii="Calibri" w:hAnsi="Calibri" w:cs="Calibri"/>
          <w:bCs/>
          <w:lang w:val="en-GB"/>
        </w:rPr>
        <w:t xml:space="preserve">utilize a qualitative questionnaire for banks to demonstrate their </w:t>
      </w:r>
      <w:r w:rsidR="0008057D">
        <w:rPr>
          <w:rFonts w:ascii="Calibri" w:hAnsi="Calibri" w:cs="Calibri"/>
          <w:bCs/>
          <w:lang w:val="en-GB"/>
        </w:rPr>
        <w:t>climate-related</w:t>
      </w:r>
      <w:r w:rsidR="008950A8" w:rsidRPr="00616282">
        <w:rPr>
          <w:rFonts w:ascii="Calibri" w:hAnsi="Calibri" w:cs="Calibri"/>
          <w:bCs/>
          <w:lang w:val="en-GB"/>
        </w:rPr>
        <w:t xml:space="preserve"> risk management process in as much detail as possible</w:t>
      </w:r>
      <w:r w:rsidR="007E0062">
        <w:rPr>
          <w:rFonts w:ascii="Calibri" w:hAnsi="Calibri" w:cs="Calibri"/>
          <w:bCs/>
          <w:lang w:val="en-GB"/>
        </w:rPr>
        <w:t>,</w:t>
      </w:r>
      <w:r w:rsidR="008950A8" w:rsidRPr="00616282">
        <w:rPr>
          <w:rFonts w:ascii="Calibri" w:hAnsi="Calibri" w:cs="Calibri"/>
          <w:bCs/>
          <w:lang w:val="en-GB"/>
        </w:rPr>
        <w:t xml:space="preserve"> addressing several points as shown below.</w:t>
      </w:r>
      <w:bookmarkEnd w:id="85"/>
    </w:p>
    <w:p w14:paraId="3394FB28" w14:textId="77777777" w:rsidR="00BC4DB8" w:rsidRPr="00616282" w:rsidRDefault="00BC4DB8" w:rsidP="00F954E3">
      <w:pPr>
        <w:rPr>
          <w:rFonts w:ascii="Calibri" w:hAnsi="Calibri" w:cs="Calibri"/>
          <w:bCs/>
          <w:lang w:val="en-GB"/>
        </w:rPr>
      </w:pPr>
    </w:p>
    <w:p w14:paraId="2EA4B668" w14:textId="77777777" w:rsidR="0008057D" w:rsidRDefault="0008057D">
      <w:pPr>
        <w:rPr>
          <w:rFonts w:ascii="Calibri" w:hAnsi="Calibri" w:cs="Calibri"/>
          <w:b/>
          <w:bCs/>
          <w:color w:val="ED7D31" w:themeColor="accent2"/>
          <w:lang w:val="en-GB"/>
        </w:rPr>
      </w:pPr>
      <w:bookmarkStart w:id="86" w:name="_Toc171908210"/>
      <w:r>
        <w:rPr>
          <w:rFonts w:ascii="Calibri" w:hAnsi="Calibri" w:cs="Calibri"/>
          <w:b/>
          <w:bCs/>
          <w:color w:val="ED7D31" w:themeColor="accent2"/>
          <w:lang w:val="en-GB"/>
        </w:rPr>
        <w:br w:type="page"/>
      </w:r>
    </w:p>
    <w:p w14:paraId="717DBA0D" w14:textId="4D86330E" w:rsidR="008950A8" w:rsidRDefault="00BC4DB8"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16</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EF1B91" w:rsidRPr="00616282">
        <w:rPr>
          <w:rFonts w:ascii="Calibri" w:hAnsi="Calibri" w:cs="Calibri"/>
          <w:b/>
          <w:bCs/>
          <w:color w:val="ED7D31" w:themeColor="accent2"/>
          <w:lang w:val="en-GB"/>
        </w:rPr>
        <w:t>Framework Template questionnaire on risk management, scenarios, and transition planning</w:t>
      </w:r>
      <w:bookmarkEnd w:id="86"/>
    </w:p>
    <w:p w14:paraId="5A70F6D5" w14:textId="4626F39E" w:rsidR="008950A8" w:rsidRPr="00616282" w:rsidRDefault="00BC4DB8" w:rsidP="00F954E3">
      <w:pPr>
        <w:rPr>
          <w:rFonts w:ascii="Calibri" w:hAnsi="Calibri" w:cs="Calibri"/>
          <w:lang w:val="en-GB"/>
        </w:rPr>
      </w:pPr>
      <w:bookmarkStart w:id="87" w:name="_Toc167079305"/>
      <w:r w:rsidRPr="00616282">
        <w:rPr>
          <w:rFonts w:ascii="Calibri" w:hAnsi="Calibri" w:cs="Calibri"/>
          <w:noProof/>
          <w:lang w:val="en-GB"/>
        </w:rPr>
        <w:drawing>
          <wp:inline distT="0" distB="0" distL="0" distR="0" wp14:anchorId="5F5CC82B" wp14:editId="574F149C">
            <wp:extent cx="5731510" cy="1547495"/>
            <wp:effectExtent l="0" t="0" r="0" b="1905"/>
            <wp:docPr id="279972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7203" name=""/>
                    <pic:cNvPicPr/>
                  </pic:nvPicPr>
                  <pic:blipFill>
                    <a:blip r:embed="rId40"/>
                    <a:stretch>
                      <a:fillRect/>
                    </a:stretch>
                  </pic:blipFill>
                  <pic:spPr>
                    <a:xfrm>
                      <a:off x="0" y="0"/>
                      <a:ext cx="5731510" cy="1547495"/>
                    </a:xfrm>
                    <a:prstGeom prst="rect">
                      <a:avLst/>
                    </a:prstGeom>
                  </pic:spPr>
                </pic:pic>
              </a:graphicData>
            </a:graphic>
          </wp:inline>
        </w:drawing>
      </w:r>
      <w:bookmarkEnd w:id="87"/>
    </w:p>
    <w:p w14:paraId="58A23CBB" w14:textId="7777777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Adapted from European Banking Authority. 2022. Final</w:t>
      </w:r>
      <w:r w:rsidRPr="00616282">
        <w:rPr>
          <w:rFonts w:ascii="Calibri" w:hAnsi="Calibri" w:cs="Calibri"/>
          <w:sz w:val="20"/>
          <w:szCs w:val="20"/>
        </w:rPr>
        <w:t xml:space="preserve"> report draft implementing technical standards (ITS) on prudential disclosures on ESG. </w:t>
      </w:r>
    </w:p>
    <w:p w14:paraId="46DD6EAE" w14:textId="77777777" w:rsidR="000275C4" w:rsidRPr="00616282" w:rsidRDefault="000275C4" w:rsidP="00FB0DA0">
      <w:pPr>
        <w:outlineLvl w:val="0"/>
        <w:rPr>
          <w:rFonts w:ascii="Calibri" w:hAnsi="Calibri" w:cs="Calibri"/>
          <w:lang w:val="en-GB"/>
        </w:rPr>
      </w:pPr>
    </w:p>
    <w:p w14:paraId="0021FBFF" w14:textId="11CEA911" w:rsidR="00EE2352" w:rsidRPr="00616282" w:rsidRDefault="00EE2352" w:rsidP="0061766C">
      <w:pPr>
        <w:pStyle w:val="Heading1"/>
        <w:pBdr>
          <w:bottom w:val="single" w:sz="8" w:space="1" w:color="2E74B5" w:themeColor="accent5" w:themeShade="BF"/>
        </w:pBdr>
        <w:rPr>
          <w:rFonts w:ascii="Calibri" w:hAnsi="Calibri" w:cs="Calibri"/>
        </w:rPr>
      </w:pPr>
      <w:bookmarkStart w:id="88" w:name="_Toc167079306"/>
      <w:bookmarkStart w:id="89" w:name="_Toc171908189"/>
      <w:r w:rsidRPr="00616282">
        <w:rPr>
          <w:rFonts w:ascii="Calibri" w:hAnsi="Calibri" w:cs="Calibri"/>
        </w:rPr>
        <w:t>Metrics and targets</w:t>
      </w:r>
      <w:bookmarkEnd w:id="88"/>
      <w:bookmarkEnd w:id="89"/>
    </w:p>
    <w:p w14:paraId="5610E501" w14:textId="77777777" w:rsidR="000612E7" w:rsidRPr="00616282" w:rsidRDefault="000612E7" w:rsidP="00FB0DA0">
      <w:pPr>
        <w:pStyle w:val="ListParagraph"/>
        <w:contextualSpacing w:val="0"/>
        <w:outlineLvl w:val="0"/>
        <w:rPr>
          <w:rFonts w:ascii="Calibri" w:hAnsi="Calibri" w:cs="Calibri"/>
          <w:b/>
          <w:bCs/>
          <w:color w:val="ED7D31" w:themeColor="accent2"/>
          <w:lang w:val="en-GB"/>
        </w:rPr>
      </w:pPr>
    </w:p>
    <w:p w14:paraId="17699F53" w14:textId="37AAF3B6" w:rsidR="00F02154" w:rsidRPr="00616282" w:rsidRDefault="00A250BA" w:rsidP="00E60D4F">
      <w:pPr>
        <w:jc w:val="both"/>
        <w:rPr>
          <w:rFonts w:ascii="Calibri" w:hAnsi="Calibri" w:cs="Calibri"/>
          <w:lang w:val="en-GB"/>
        </w:rPr>
      </w:pPr>
      <w:r w:rsidRPr="00616282">
        <w:rPr>
          <w:rFonts w:ascii="Calibri" w:hAnsi="Calibri" w:cs="Calibri"/>
          <w:color w:val="000000" w:themeColor="text1"/>
          <w:lang w:val="en-GB"/>
        </w:rPr>
        <w:t>The Central Bank of Kenya’s expectation</w:t>
      </w:r>
      <w:r w:rsidR="00A91F8E" w:rsidRPr="00616282">
        <w:rPr>
          <w:rFonts w:ascii="Calibri" w:hAnsi="Calibri" w:cs="Calibri"/>
          <w:color w:val="000000" w:themeColor="text1"/>
          <w:lang w:val="en-GB"/>
        </w:rPr>
        <w:t>s</w:t>
      </w:r>
      <w:r w:rsidRPr="00616282">
        <w:rPr>
          <w:rFonts w:ascii="Calibri" w:hAnsi="Calibri" w:cs="Calibri"/>
          <w:color w:val="000000" w:themeColor="text1"/>
          <w:lang w:val="en-GB"/>
        </w:rPr>
        <w:t xml:space="preserve"> on metrics and targets are </w:t>
      </w:r>
      <w:r w:rsidR="00851DBA" w:rsidRPr="00616282">
        <w:rPr>
          <w:rFonts w:ascii="Calibri" w:hAnsi="Calibri" w:cs="Calibri"/>
          <w:color w:val="000000" w:themeColor="text1"/>
          <w:lang w:val="en-GB"/>
        </w:rPr>
        <w:t xml:space="preserve">covered in </w:t>
      </w:r>
      <w:r w:rsidR="005673A1" w:rsidRPr="00616282">
        <w:rPr>
          <w:rFonts w:ascii="Calibri" w:hAnsi="Calibri" w:cs="Calibri"/>
          <w:color w:val="000000" w:themeColor="text1"/>
          <w:lang w:val="en-GB"/>
        </w:rPr>
        <w:t>Section 3.4.5</w:t>
      </w:r>
      <w:r w:rsidR="00E0259F" w:rsidRPr="00616282">
        <w:rPr>
          <w:rFonts w:ascii="Calibri" w:hAnsi="Calibri" w:cs="Calibri"/>
          <w:color w:val="000000" w:themeColor="text1"/>
          <w:lang w:val="en-GB"/>
        </w:rPr>
        <w:t>.</w:t>
      </w:r>
      <w:r w:rsidRPr="00616282">
        <w:rPr>
          <w:rFonts w:ascii="Calibri" w:hAnsi="Calibri" w:cs="Calibri"/>
          <w:color w:val="000000" w:themeColor="text1"/>
          <w:lang w:val="en-GB"/>
        </w:rPr>
        <w:t xml:space="preserve"> </w:t>
      </w:r>
      <w:r w:rsidR="00F02154" w:rsidRPr="00616282">
        <w:rPr>
          <w:rFonts w:ascii="Calibri" w:hAnsi="Calibri" w:cs="Calibri"/>
          <w:lang w:val="en-GB"/>
        </w:rPr>
        <w:t xml:space="preserve">The disclosure of climate-related metrics and targets </w:t>
      </w:r>
      <w:r w:rsidR="00600059" w:rsidRPr="00616282">
        <w:rPr>
          <w:rFonts w:ascii="Calibri" w:hAnsi="Calibri" w:cs="Calibri"/>
          <w:lang w:val="en-GB"/>
        </w:rPr>
        <w:t xml:space="preserve">illuminates </w:t>
      </w:r>
      <w:r w:rsidR="00796B7E">
        <w:rPr>
          <w:rFonts w:ascii="Calibri" w:hAnsi="Calibri" w:cs="Calibri"/>
          <w:lang w:val="en-GB"/>
        </w:rPr>
        <w:t xml:space="preserve">a </w:t>
      </w:r>
      <w:r w:rsidR="003128E3" w:rsidRPr="00616282">
        <w:rPr>
          <w:rFonts w:ascii="Calibri" w:hAnsi="Calibri" w:cs="Calibri"/>
          <w:lang w:val="en-GB"/>
        </w:rPr>
        <w:t xml:space="preserve">bank’s </w:t>
      </w:r>
      <w:r w:rsidR="00BD2562" w:rsidRPr="00616282">
        <w:rPr>
          <w:rFonts w:ascii="Calibri" w:hAnsi="Calibri" w:cs="Calibri"/>
          <w:lang w:val="en-GB"/>
        </w:rPr>
        <w:t xml:space="preserve">internalization of </w:t>
      </w:r>
      <w:r w:rsidR="0008057D">
        <w:rPr>
          <w:rFonts w:ascii="Calibri" w:hAnsi="Calibri" w:cs="Calibri"/>
          <w:lang w:val="en-GB"/>
        </w:rPr>
        <w:t>climate-related</w:t>
      </w:r>
      <w:r w:rsidR="00BD2562" w:rsidRPr="00616282">
        <w:rPr>
          <w:rFonts w:ascii="Calibri" w:hAnsi="Calibri" w:cs="Calibri"/>
          <w:lang w:val="en-GB"/>
        </w:rPr>
        <w:t xml:space="preserve"> risks and opportunities across strategy, governance, and risk management.</w:t>
      </w:r>
      <w:r w:rsidR="00F02154" w:rsidRPr="00616282">
        <w:rPr>
          <w:rFonts w:ascii="Calibri" w:hAnsi="Calibri" w:cs="Calibri"/>
          <w:lang w:val="en-GB"/>
        </w:rPr>
        <w:t xml:space="preserve"> </w:t>
      </w:r>
      <w:r w:rsidR="0048733D" w:rsidRPr="00616282">
        <w:rPr>
          <w:rFonts w:ascii="Calibri" w:hAnsi="Calibri" w:cs="Calibri"/>
          <w:lang w:val="en-GB"/>
        </w:rPr>
        <w:t>A robust set of metrics and targets informs stakeholders on the extent to which climate</w:t>
      </w:r>
      <w:r w:rsidR="00796B7E">
        <w:rPr>
          <w:rFonts w:ascii="Calibri" w:hAnsi="Calibri" w:cs="Calibri"/>
          <w:lang w:val="en-GB"/>
        </w:rPr>
        <w:t>-</w:t>
      </w:r>
      <w:r w:rsidR="0048733D" w:rsidRPr="00616282">
        <w:rPr>
          <w:rFonts w:ascii="Calibri" w:hAnsi="Calibri" w:cs="Calibri"/>
          <w:lang w:val="en-GB"/>
        </w:rPr>
        <w:t>related matters have been considered an</w:t>
      </w:r>
      <w:r w:rsidR="00E014CF" w:rsidRPr="00616282">
        <w:rPr>
          <w:rFonts w:ascii="Calibri" w:hAnsi="Calibri" w:cs="Calibri"/>
          <w:lang w:val="en-GB"/>
        </w:rPr>
        <w:t>d quantified</w:t>
      </w:r>
      <w:r w:rsidR="00F02154" w:rsidRPr="00616282">
        <w:rPr>
          <w:rFonts w:ascii="Calibri" w:hAnsi="Calibri" w:cs="Calibri"/>
          <w:lang w:val="en-GB"/>
        </w:rPr>
        <w:t xml:space="preserve">. </w:t>
      </w:r>
      <w:r w:rsidR="00103890" w:rsidRPr="00616282">
        <w:rPr>
          <w:rFonts w:ascii="Calibri" w:hAnsi="Calibri" w:cs="Calibri"/>
          <w:lang w:val="en-GB"/>
        </w:rPr>
        <w:t>Critically, financed emissions</w:t>
      </w:r>
      <w:r w:rsidR="00F5261E" w:rsidRPr="00616282">
        <w:rPr>
          <w:rFonts w:ascii="Calibri" w:hAnsi="Calibri" w:cs="Calibri"/>
          <w:lang w:val="en-GB"/>
        </w:rPr>
        <w:t>, a sub-component of Scope 3 and the largest share of total emissions for financial institutions, should be a priority metric</w:t>
      </w:r>
      <w:r w:rsidR="0014377D" w:rsidRPr="00616282">
        <w:rPr>
          <w:rFonts w:ascii="Calibri" w:hAnsi="Calibri" w:cs="Calibri"/>
          <w:lang w:val="en-GB"/>
        </w:rPr>
        <w:t xml:space="preserve">. </w:t>
      </w:r>
      <w:r w:rsidR="005D5F8B" w:rsidRPr="00616282">
        <w:rPr>
          <w:rFonts w:ascii="Calibri" w:hAnsi="Calibri" w:cs="Calibri"/>
          <w:lang w:val="en-GB"/>
        </w:rPr>
        <w:t xml:space="preserve">Additional commonly used metrics </w:t>
      </w:r>
      <w:r w:rsidR="00C425AE" w:rsidRPr="00616282">
        <w:rPr>
          <w:rFonts w:ascii="Calibri" w:hAnsi="Calibri" w:cs="Calibri"/>
          <w:lang w:val="en-GB"/>
        </w:rPr>
        <w:t xml:space="preserve">include </w:t>
      </w:r>
      <w:r w:rsidR="0032375A" w:rsidRPr="00616282">
        <w:rPr>
          <w:rFonts w:ascii="Calibri" w:hAnsi="Calibri" w:cs="Calibri"/>
          <w:lang w:val="en-GB"/>
        </w:rPr>
        <w:t>alignment metrics</w:t>
      </w:r>
      <w:r w:rsidR="00796B7E">
        <w:rPr>
          <w:rFonts w:ascii="Calibri" w:hAnsi="Calibri" w:cs="Calibri"/>
          <w:lang w:val="en-GB"/>
        </w:rPr>
        <w:t>,</w:t>
      </w:r>
      <w:r w:rsidR="0032375A" w:rsidRPr="00616282">
        <w:rPr>
          <w:rFonts w:ascii="Calibri" w:hAnsi="Calibri" w:cs="Calibri"/>
          <w:lang w:val="en-GB"/>
        </w:rPr>
        <w:t xml:space="preserve"> which are derived from climate-scenarios or sector</w:t>
      </w:r>
      <w:r w:rsidR="00796B7E">
        <w:rPr>
          <w:rFonts w:ascii="Calibri" w:hAnsi="Calibri" w:cs="Calibri"/>
          <w:lang w:val="en-GB"/>
        </w:rPr>
        <w:t>-</w:t>
      </w:r>
      <w:r w:rsidR="0032375A" w:rsidRPr="00616282">
        <w:rPr>
          <w:rFonts w:ascii="Calibri" w:hAnsi="Calibri" w:cs="Calibri"/>
          <w:lang w:val="en-GB"/>
        </w:rPr>
        <w:t>based decarbonization pathways</w:t>
      </w:r>
      <w:r w:rsidR="00F02154" w:rsidRPr="00616282">
        <w:rPr>
          <w:rFonts w:ascii="Calibri" w:hAnsi="Calibri" w:cs="Calibri"/>
          <w:lang w:val="en-GB"/>
        </w:rPr>
        <w:t>.</w:t>
      </w:r>
      <w:r w:rsidR="00C01A55" w:rsidRPr="00616282">
        <w:rPr>
          <w:rFonts w:ascii="Calibri" w:hAnsi="Calibri" w:cs="Calibri"/>
          <w:lang w:val="en-GB"/>
        </w:rPr>
        <w:t xml:space="preserve"> There are also </w:t>
      </w:r>
      <w:r w:rsidR="00B720D9" w:rsidRPr="00616282">
        <w:rPr>
          <w:rFonts w:ascii="Calibri" w:hAnsi="Calibri" w:cs="Calibri"/>
          <w:lang w:val="en-GB"/>
        </w:rPr>
        <w:t>growth-oriented</w:t>
      </w:r>
      <w:r w:rsidR="00C01A55" w:rsidRPr="00616282">
        <w:rPr>
          <w:rFonts w:ascii="Calibri" w:hAnsi="Calibri" w:cs="Calibri"/>
          <w:lang w:val="en-GB"/>
        </w:rPr>
        <w:t xml:space="preserve"> metrics and targets concerning green portfolios that align with mitigation, adaptation, or other environmental criteria. </w:t>
      </w:r>
    </w:p>
    <w:p w14:paraId="2E8F7042" w14:textId="77777777" w:rsidR="000612E7" w:rsidRPr="00616282" w:rsidRDefault="000612E7" w:rsidP="00FB0DA0">
      <w:pPr>
        <w:pStyle w:val="ListParagraph"/>
        <w:contextualSpacing w:val="0"/>
        <w:outlineLvl w:val="0"/>
        <w:rPr>
          <w:rFonts w:ascii="Calibri" w:hAnsi="Calibri" w:cs="Calibri"/>
          <w:b/>
          <w:bCs/>
          <w:color w:val="ED7D31" w:themeColor="accent2"/>
          <w:lang w:val="en-GB"/>
        </w:rPr>
      </w:pPr>
    </w:p>
    <w:p w14:paraId="11310F7F" w14:textId="747CEB04" w:rsidR="005C24D1" w:rsidRPr="00616282" w:rsidRDefault="003A5F3D" w:rsidP="00616282">
      <w:pPr>
        <w:rPr>
          <w:rFonts w:ascii="Calibri" w:hAnsi="Calibri" w:cs="Calibri"/>
          <w:b/>
          <w:bCs/>
          <w:color w:val="ED7D31" w:themeColor="accent2"/>
          <w:lang w:val="en-GB"/>
        </w:rPr>
      </w:pPr>
      <w:bookmarkStart w:id="90" w:name="_Toc171908211"/>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17</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Linking CBK, IFRS and BCBS expectations</w:t>
      </w:r>
      <w:r w:rsidR="0090701E">
        <w:rPr>
          <w:rFonts w:ascii="Calibri" w:hAnsi="Calibri" w:cs="Calibri"/>
          <w:b/>
          <w:bCs/>
          <w:color w:val="ED7D31" w:themeColor="accent2"/>
          <w:lang w:val="en-GB"/>
        </w:rPr>
        <w:t xml:space="preserve"> on metrics and targets</w:t>
      </w:r>
      <w:bookmarkEnd w:id="90"/>
    </w:p>
    <w:p w14:paraId="3DEC321F" w14:textId="77777777" w:rsidR="00C949E2" w:rsidRPr="00616282" w:rsidRDefault="00C949E2" w:rsidP="00C949E2">
      <w:pPr>
        <w:rPr>
          <w:rFonts w:ascii="Calibri" w:hAnsi="Calibri" w:cs="Calibri"/>
          <w:lang w:val="en-GB"/>
        </w:rPr>
      </w:pPr>
    </w:p>
    <w:tbl>
      <w:tblPr>
        <w:tblStyle w:val="TableGrid"/>
        <w:tblW w:w="9488"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753"/>
        <w:gridCol w:w="2976"/>
        <w:gridCol w:w="2694"/>
      </w:tblGrid>
      <w:tr w:rsidR="004063E4" w:rsidRPr="004725EE" w14:paraId="6CD2F0D1" w14:textId="77777777" w:rsidTr="0008057D">
        <w:trPr>
          <w:tblHeader/>
        </w:trPr>
        <w:tc>
          <w:tcPr>
            <w:tcW w:w="2065" w:type="dxa"/>
            <w:shd w:val="clear" w:color="auto" w:fill="FBE4D5" w:themeFill="accent2" w:themeFillTint="33"/>
          </w:tcPr>
          <w:p w14:paraId="70A14177"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729" w:type="dxa"/>
            <w:gridSpan w:val="2"/>
            <w:shd w:val="clear" w:color="auto" w:fill="D9D9D9" w:themeFill="background1" w:themeFillShade="D9"/>
          </w:tcPr>
          <w:p w14:paraId="75597547"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694" w:type="dxa"/>
            <w:shd w:val="clear" w:color="auto" w:fill="D9D9D9" w:themeFill="background1" w:themeFillShade="D9"/>
          </w:tcPr>
          <w:p w14:paraId="03F51929" w14:textId="77777777" w:rsidR="004063E4" w:rsidRPr="00616282" w:rsidRDefault="004063E4">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Principles</w:t>
            </w:r>
          </w:p>
        </w:tc>
      </w:tr>
      <w:tr w:rsidR="004063E4" w:rsidRPr="004725EE" w14:paraId="692BE98A" w14:textId="77777777" w:rsidTr="0008057D">
        <w:trPr>
          <w:tblHeader/>
        </w:trPr>
        <w:tc>
          <w:tcPr>
            <w:tcW w:w="2065" w:type="dxa"/>
            <w:shd w:val="clear" w:color="auto" w:fill="FBE4D5" w:themeFill="accent2" w:themeFillTint="33"/>
          </w:tcPr>
          <w:p w14:paraId="736D613B"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Risk Management</w:t>
            </w:r>
          </w:p>
        </w:tc>
        <w:tc>
          <w:tcPr>
            <w:tcW w:w="1753" w:type="dxa"/>
            <w:shd w:val="clear" w:color="auto" w:fill="D9D9D9" w:themeFill="background1" w:themeFillShade="D9"/>
          </w:tcPr>
          <w:p w14:paraId="4638166F"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976" w:type="dxa"/>
            <w:shd w:val="clear" w:color="auto" w:fill="D9D9D9" w:themeFill="background1" w:themeFillShade="D9"/>
          </w:tcPr>
          <w:p w14:paraId="70C17FDB"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694" w:type="dxa"/>
            <w:shd w:val="clear" w:color="auto" w:fill="D9D9D9" w:themeFill="background1" w:themeFillShade="D9"/>
          </w:tcPr>
          <w:p w14:paraId="4A52E51A" w14:textId="77777777" w:rsidR="004063E4" w:rsidRPr="00616282" w:rsidRDefault="004063E4">
            <w:pPr>
              <w:jc w:val="center"/>
              <w:rPr>
                <w:rFonts w:ascii="Calibri" w:hAnsi="Calibri" w:cs="Calibri"/>
                <w:color w:val="4472C4" w:themeColor="accent1"/>
                <w:lang w:val="en-GB"/>
              </w:rPr>
            </w:pPr>
          </w:p>
        </w:tc>
      </w:tr>
      <w:tr w:rsidR="008D3454" w:rsidRPr="004725EE" w14:paraId="038FD6A9" w14:textId="77777777" w:rsidTr="0008057D">
        <w:tc>
          <w:tcPr>
            <w:tcW w:w="2065" w:type="dxa"/>
            <w:vMerge w:val="restart"/>
            <w:shd w:val="clear" w:color="auto" w:fill="FBE4D5" w:themeFill="accent2" w:themeFillTint="33"/>
          </w:tcPr>
          <w:p w14:paraId="5CB0D92A" w14:textId="77777777" w:rsidR="008D3454" w:rsidRPr="00616282" w:rsidRDefault="008D3454" w:rsidP="00796B7E">
            <w:pPr>
              <w:rPr>
                <w:rFonts w:ascii="Calibri" w:hAnsi="Calibri" w:cs="Calibri"/>
                <w:b/>
                <w:bCs/>
                <w:color w:val="4472C4" w:themeColor="accent1"/>
                <w:lang w:val="en-GB"/>
              </w:rPr>
            </w:pPr>
          </w:p>
          <w:p w14:paraId="579D9B98" w14:textId="77777777" w:rsidR="008D3454" w:rsidRPr="00616282" w:rsidRDefault="008D3454" w:rsidP="00796B7E">
            <w:pPr>
              <w:rPr>
                <w:rFonts w:ascii="Calibri" w:hAnsi="Calibri" w:cs="Calibri"/>
                <w:b/>
                <w:bCs/>
                <w:color w:val="4472C4" w:themeColor="accent1"/>
                <w:lang w:val="en-GB"/>
              </w:rPr>
            </w:pPr>
          </w:p>
          <w:p w14:paraId="66297F01" w14:textId="04BCBCA4" w:rsidR="008D3454" w:rsidRPr="00616282" w:rsidRDefault="008D3454" w:rsidP="00796B7E">
            <w:pPr>
              <w:rPr>
                <w:rFonts w:ascii="Calibri" w:hAnsi="Calibri" w:cs="Calibri"/>
                <w:b/>
                <w:bCs/>
                <w:color w:val="4472C4" w:themeColor="accent1"/>
                <w:lang w:val="en-GB"/>
              </w:rPr>
            </w:pPr>
            <w:r w:rsidRPr="00616282">
              <w:rPr>
                <w:rFonts w:ascii="Calibri" w:hAnsi="Calibri" w:cs="Calibri"/>
                <w:b/>
                <w:bCs/>
                <w:color w:val="4472C4" w:themeColor="accent1"/>
                <w:lang w:val="en-GB"/>
              </w:rPr>
              <w:t>3.4.5 Disclosure of climate-related information</w:t>
            </w:r>
          </w:p>
        </w:tc>
        <w:tc>
          <w:tcPr>
            <w:tcW w:w="1753" w:type="dxa"/>
          </w:tcPr>
          <w:p w14:paraId="60FA4179" w14:textId="6B560880" w:rsidR="008D3454" w:rsidRPr="00616282" w:rsidRDefault="008D3454" w:rsidP="00796B7E">
            <w:pPr>
              <w:rPr>
                <w:rFonts w:ascii="Calibri" w:hAnsi="Calibri" w:cs="Calibri"/>
                <w:color w:val="4472C4" w:themeColor="accent1"/>
                <w:lang w:val="en-GB"/>
              </w:rPr>
            </w:pPr>
            <w:r w:rsidRPr="00616282">
              <w:rPr>
                <w:rFonts w:ascii="Calibri" w:hAnsi="Calibri" w:cs="Calibri"/>
                <w:b/>
                <w:bCs/>
                <w:color w:val="4472C4" w:themeColor="accent1"/>
                <w:lang w:val="en-GB"/>
              </w:rPr>
              <w:t>Climate-related metrics</w:t>
            </w:r>
          </w:p>
        </w:tc>
        <w:tc>
          <w:tcPr>
            <w:tcW w:w="2976" w:type="dxa"/>
          </w:tcPr>
          <w:p w14:paraId="5E910817" w14:textId="23115E1C" w:rsidR="008D3454" w:rsidRPr="00616282" w:rsidRDefault="003B2AB0" w:rsidP="00CB4FD6">
            <w:pPr>
              <w:rPr>
                <w:rFonts w:ascii="Calibri" w:hAnsi="Calibri" w:cs="Calibri"/>
                <w:lang w:val="en-GB"/>
              </w:rPr>
            </w:pPr>
            <w:r w:rsidRPr="00616282">
              <w:rPr>
                <w:rFonts w:ascii="Calibri" w:hAnsi="Calibri" w:cs="Calibri"/>
                <w:lang w:val="en-GB"/>
              </w:rPr>
              <w:t>I</w:t>
            </w:r>
            <w:r w:rsidR="008D3454" w:rsidRPr="00616282">
              <w:rPr>
                <w:rFonts w:ascii="Calibri" w:hAnsi="Calibri" w:cs="Calibri"/>
                <w:lang w:val="en-GB"/>
              </w:rPr>
              <w:t>nformation relevant to the cross-industry metric categories including greenhouse gases emissions (Scope 1, 2 and 3), asset share or business activities vulnerable to transition and physical risks, and alignment with climate-related opportunities, capital deployment towards climate risk and opportunities, carbon pricing, and remuneration schemes, linked to climate performance.</w:t>
            </w:r>
          </w:p>
          <w:p w14:paraId="4EDB1D9C" w14:textId="77777777" w:rsidR="008D3454" w:rsidRPr="00616282" w:rsidRDefault="008D3454" w:rsidP="00CB4FD6">
            <w:pPr>
              <w:rPr>
                <w:rFonts w:ascii="Calibri" w:hAnsi="Calibri" w:cs="Calibri"/>
                <w:lang w:val="en-GB"/>
              </w:rPr>
            </w:pPr>
          </w:p>
        </w:tc>
        <w:tc>
          <w:tcPr>
            <w:tcW w:w="2694" w:type="dxa"/>
            <w:vMerge w:val="restart"/>
          </w:tcPr>
          <w:p w14:paraId="6B9AD879" w14:textId="77777777" w:rsidR="008D3454" w:rsidRPr="00616282" w:rsidRDefault="002E4748" w:rsidP="00CB4FD6">
            <w:pPr>
              <w:rPr>
                <w:rFonts w:ascii="Calibri" w:hAnsi="Calibri" w:cs="Calibri"/>
                <w:lang w:val="en-GB"/>
              </w:rPr>
            </w:pPr>
            <w:r w:rsidRPr="00616282">
              <w:rPr>
                <w:rFonts w:ascii="Calibri" w:hAnsi="Calibri" w:cs="Calibri"/>
                <w:b/>
                <w:bCs/>
                <w:lang w:val="en-GB"/>
              </w:rPr>
              <w:t>Principle 7:</w:t>
            </w:r>
            <w:r w:rsidRPr="00616282">
              <w:rPr>
                <w:rFonts w:ascii="Calibri" w:hAnsi="Calibri" w:cs="Calibri"/>
                <w:lang w:val="en-GB"/>
              </w:rPr>
              <w:t xml:space="preserve"> Risk data aggregation capabilities and internal risk reporting practices should account for climate-related financial risks. Banks should seek to ensure that their internal reporting systems are capable of monitoring material climate-related financial risks and producing timely information to ensure effective board and senior management decision-making.</w:t>
            </w:r>
          </w:p>
          <w:p w14:paraId="42476B7E" w14:textId="77777777" w:rsidR="004177A5" w:rsidRPr="00616282" w:rsidRDefault="004177A5" w:rsidP="00CB4FD6">
            <w:pPr>
              <w:rPr>
                <w:rFonts w:ascii="Calibri" w:hAnsi="Calibri" w:cs="Calibri"/>
                <w:lang w:val="en-GB"/>
              </w:rPr>
            </w:pPr>
          </w:p>
          <w:p w14:paraId="48B5DA98" w14:textId="26B06DBA" w:rsidR="004177A5" w:rsidRPr="00616282" w:rsidRDefault="004177A5" w:rsidP="00CB4FD6">
            <w:pPr>
              <w:autoSpaceDE w:val="0"/>
              <w:autoSpaceDN w:val="0"/>
              <w:adjustRightInd w:val="0"/>
              <w:rPr>
                <w:rFonts w:ascii="Calibri" w:hAnsi="Calibri" w:cs="Calibri"/>
                <w:lang w:val="en-GB"/>
              </w:rPr>
            </w:pPr>
            <w:r w:rsidRPr="00616282">
              <w:rPr>
                <w:rFonts w:ascii="Calibri" w:hAnsi="Calibri" w:cs="Calibri"/>
                <w:lang w:val="en-GB"/>
              </w:rPr>
              <w:t>34. Banks should develop qualitative and/or quantitative metrics or indicators to assess, monitor, and report climate-related financial risks. Limitations that prevent full climate risk data assessment should be made explicit to stakeholders where relevant.</w:t>
            </w:r>
          </w:p>
        </w:tc>
      </w:tr>
      <w:tr w:rsidR="008D3454" w:rsidRPr="004725EE" w14:paraId="1EDFE967" w14:textId="77777777" w:rsidTr="0008057D">
        <w:tc>
          <w:tcPr>
            <w:tcW w:w="2065" w:type="dxa"/>
            <w:vMerge/>
            <w:shd w:val="clear" w:color="auto" w:fill="FBE4D5" w:themeFill="accent2" w:themeFillTint="33"/>
          </w:tcPr>
          <w:p w14:paraId="402AB1EA" w14:textId="77777777" w:rsidR="008D3454" w:rsidRPr="00616282" w:rsidRDefault="008D3454" w:rsidP="008D3454">
            <w:pPr>
              <w:rPr>
                <w:rFonts w:ascii="Calibri" w:hAnsi="Calibri" w:cs="Calibri"/>
                <w:b/>
                <w:bCs/>
                <w:color w:val="003299"/>
                <w:lang w:val="en-GB"/>
              </w:rPr>
            </w:pPr>
          </w:p>
        </w:tc>
        <w:tc>
          <w:tcPr>
            <w:tcW w:w="1753" w:type="dxa"/>
          </w:tcPr>
          <w:p w14:paraId="40F83167" w14:textId="7CF04247" w:rsidR="008D3454" w:rsidRPr="00616282" w:rsidRDefault="008D3454" w:rsidP="008D3454">
            <w:pPr>
              <w:autoSpaceDE w:val="0"/>
              <w:autoSpaceDN w:val="0"/>
              <w:adjustRightInd w:val="0"/>
              <w:rPr>
                <w:rFonts w:ascii="Calibri" w:hAnsi="Calibri" w:cs="Calibri"/>
                <w:color w:val="4472C4" w:themeColor="accent1"/>
                <w:lang w:val="en-GB"/>
              </w:rPr>
            </w:pPr>
            <w:r w:rsidRPr="00616282">
              <w:rPr>
                <w:rFonts w:ascii="Calibri" w:hAnsi="Calibri" w:cs="Calibri"/>
                <w:b/>
                <w:bCs/>
                <w:color w:val="4472C4" w:themeColor="accent1"/>
                <w:lang w:val="en-GB"/>
              </w:rPr>
              <w:t>Climate-related targets</w:t>
            </w:r>
          </w:p>
        </w:tc>
        <w:tc>
          <w:tcPr>
            <w:tcW w:w="2976" w:type="dxa"/>
          </w:tcPr>
          <w:p w14:paraId="282B9B86" w14:textId="77777777" w:rsidR="008D3454" w:rsidRPr="00616282" w:rsidRDefault="008D3454" w:rsidP="00CB4FD6">
            <w:pPr>
              <w:rPr>
                <w:rFonts w:ascii="Calibri" w:hAnsi="Calibri" w:cs="Calibri"/>
                <w:lang w:val="en-GB"/>
              </w:rPr>
            </w:pPr>
            <w:r w:rsidRPr="00616282">
              <w:rPr>
                <w:rFonts w:ascii="Calibri" w:hAnsi="Calibri" w:cs="Calibri"/>
                <w:lang w:val="en-GB"/>
              </w:rPr>
              <w:t>Disclose the quantitative and qualitative climate mitigation, and adaptation targets set by the bank, together with its geographical and sector coverage monitoring arrangements, linkages to regulation, and application period.</w:t>
            </w:r>
          </w:p>
          <w:p w14:paraId="0C8C1CA1" w14:textId="09F83921" w:rsidR="008D3454" w:rsidRPr="00616282" w:rsidRDefault="008D3454" w:rsidP="008D3454">
            <w:pPr>
              <w:rPr>
                <w:rFonts w:ascii="Calibri" w:hAnsi="Calibri" w:cs="Calibri"/>
                <w:lang w:val="en-GB"/>
              </w:rPr>
            </w:pPr>
          </w:p>
        </w:tc>
        <w:tc>
          <w:tcPr>
            <w:tcW w:w="2694" w:type="dxa"/>
            <w:vMerge/>
          </w:tcPr>
          <w:p w14:paraId="763308A7" w14:textId="77777777" w:rsidR="008D3454" w:rsidRPr="00616282" w:rsidRDefault="008D3454" w:rsidP="008D3454">
            <w:pPr>
              <w:pStyle w:val="NormalWeb"/>
              <w:rPr>
                <w:rFonts w:ascii="Calibri" w:hAnsi="Calibri" w:cs="Calibri"/>
                <w:lang w:val="en-GB"/>
              </w:rPr>
            </w:pPr>
          </w:p>
        </w:tc>
      </w:tr>
    </w:tbl>
    <w:p w14:paraId="45D10143" w14:textId="77777777" w:rsidR="004063E4" w:rsidRPr="00616282" w:rsidRDefault="004063E4" w:rsidP="00C949E2">
      <w:pPr>
        <w:rPr>
          <w:rFonts w:ascii="Calibri" w:hAnsi="Calibri" w:cs="Calibri"/>
        </w:rPr>
      </w:pPr>
    </w:p>
    <w:p w14:paraId="7938DEC1" w14:textId="6720222E" w:rsidR="001015AB" w:rsidRPr="00616282" w:rsidRDefault="008244BE" w:rsidP="00B97958">
      <w:pPr>
        <w:pStyle w:val="Heading2"/>
        <w:rPr>
          <w:rFonts w:ascii="Calibri" w:hAnsi="Calibri" w:cs="Calibri"/>
          <w:sz w:val="24"/>
          <w:szCs w:val="24"/>
        </w:rPr>
      </w:pPr>
      <w:bookmarkStart w:id="91" w:name="_Toc167079307"/>
      <w:bookmarkStart w:id="92" w:name="_Toc171908190"/>
      <w:r w:rsidRPr="00616282">
        <w:rPr>
          <w:rFonts w:ascii="Calibri" w:hAnsi="Calibri" w:cs="Calibri"/>
          <w:sz w:val="24"/>
          <w:szCs w:val="24"/>
        </w:rPr>
        <w:t xml:space="preserve">Best practice </w:t>
      </w:r>
      <w:r w:rsidR="00E87C8D" w:rsidRPr="00616282">
        <w:rPr>
          <w:rFonts w:ascii="Calibri" w:hAnsi="Calibri" w:cs="Calibri"/>
          <w:sz w:val="24"/>
          <w:szCs w:val="24"/>
        </w:rPr>
        <w:t>on metrics and targets</w:t>
      </w:r>
      <w:bookmarkEnd w:id="91"/>
      <w:bookmarkEnd w:id="92"/>
    </w:p>
    <w:p w14:paraId="286DF7E8" w14:textId="77777777" w:rsidR="001015AB" w:rsidRPr="00616282" w:rsidRDefault="001015AB" w:rsidP="00FB0DA0">
      <w:pPr>
        <w:outlineLvl w:val="0"/>
        <w:rPr>
          <w:rFonts w:ascii="Calibri" w:hAnsi="Calibri" w:cs="Calibri"/>
          <w:b/>
          <w:lang w:val="en-GB"/>
        </w:rPr>
      </w:pPr>
    </w:p>
    <w:p w14:paraId="02C46FFD" w14:textId="78DDCDD8" w:rsidR="00EE2352" w:rsidRPr="00616282" w:rsidRDefault="00EE2352" w:rsidP="003A5F3D">
      <w:pPr>
        <w:pStyle w:val="Heading3"/>
        <w:rPr>
          <w:rFonts w:ascii="Calibri" w:hAnsi="Calibri" w:cs="Calibri"/>
          <w:sz w:val="24"/>
          <w:lang w:val="en-GB"/>
        </w:rPr>
      </w:pPr>
      <w:bookmarkStart w:id="93" w:name="_Toc171908191"/>
      <w:r w:rsidRPr="00616282">
        <w:rPr>
          <w:rFonts w:ascii="Calibri" w:hAnsi="Calibri" w:cs="Calibri"/>
          <w:sz w:val="24"/>
          <w:lang w:val="en-GB"/>
        </w:rPr>
        <w:t>Climate-related metrics</w:t>
      </w:r>
      <w:bookmarkEnd w:id="93"/>
    </w:p>
    <w:p w14:paraId="3104388F" w14:textId="77777777" w:rsidR="003D37B1" w:rsidRPr="00616282" w:rsidRDefault="003D37B1" w:rsidP="003D37B1">
      <w:pPr>
        <w:rPr>
          <w:rFonts w:ascii="Calibri" w:hAnsi="Calibri" w:cs="Calibri"/>
          <w:lang w:val="en-GB"/>
        </w:rPr>
      </w:pPr>
    </w:p>
    <w:p w14:paraId="118B60CA" w14:textId="1D7F1ED0" w:rsidR="00B2310D" w:rsidRPr="00616282" w:rsidRDefault="00C340FF" w:rsidP="00B2310D">
      <w:pPr>
        <w:jc w:val="both"/>
        <w:rPr>
          <w:rFonts w:ascii="Calibri" w:hAnsi="Calibri" w:cs="Calibri"/>
          <w:lang w:val="en-GB"/>
        </w:rPr>
      </w:pPr>
      <w:r w:rsidRPr="00616282">
        <w:rPr>
          <w:rFonts w:ascii="Calibri" w:hAnsi="Calibri" w:cs="Calibri"/>
          <w:lang w:val="en-GB"/>
        </w:rPr>
        <w:t xml:space="preserve">Organizations often utilize the methodology crafted by the Partnership for Carbon Accounting Financials (PCAF) to </w:t>
      </w:r>
      <w:r w:rsidR="00931DC3" w:rsidRPr="00616282">
        <w:rPr>
          <w:rFonts w:ascii="Calibri" w:hAnsi="Calibri" w:cs="Calibri"/>
          <w:lang w:val="en-GB"/>
        </w:rPr>
        <w:t xml:space="preserve">measure </w:t>
      </w:r>
      <w:r w:rsidRPr="00616282">
        <w:rPr>
          <w:rFonts w:ascii="Calibri" w:hAnsi="Calibri" w:cs="Calibri"/>
          <w:lang w:val="en-GB"/>
        </w:rPr>
        <w:t xml:space="preserve">financed </w:t>
      </w:r>
      <w:r w:rsidR="009C5AC0" w:rsidRPr="00616282">
        <w:rPr>
          <w:rFonts w:ascii="Calibri" w:hAnsi="Calibri" w:cs="Calibri"/>
          <w:lang w:val="en-GB"/>
        </w:rPr>
        <w:t>emissions</w:t>
      </w:r>
      <w:r w:rsidR="000B6B7A" w:rsidRPr="00616282">
        <w:rPr>
          <w:rFonts w:ascii="Calibri" w:hAnsi="Calibri" w:cs="Calibri"/>
          <w:lang w:val="en-GB"/>
        </w:rPr>
        <w:t xml:space="preserve"> baseline and derive targets across the entire portfolio and for specific sectors. </w:t>
      </w:r>
      <w:r w:rsidR="00B2310D" w:rsidRPr="00616282">
        <w:rPr>
          <w:rFonts w:ascii="Calibri" w:hAnsi="Calibri" w:cs="Calibri"/>
          <w:lang w:val="en-GB"/>
        </w:rPr>
        <w:t xml:space="preserve">The following is an illustration on how </w:t>
      </w:r>
      <w:r w:rsidR="00D955E1" w:rsidRPr="00616282">
        <w:rPr>
          <w:rFonts w:ascii="Calibri" w:hAnsi="Calibri" w:cs="Calibri"/>
          <w:lang w:val="en-GB"/>
        </w:rPr>
        <w:t>NatWest</w:t>
      </w:r>
      <w:r w:rsidR="0068601A" w:rsidRPr="00616282">
        <w:rPr>
          <w:rFonts w:ascii="Calibri" w:hAnsi="Calibri" w:cs="Calibri"/>
          <w:lang w:val="en-GB"/>
        </w:rPr>
        <w:t xml:space="preserve"> Group with a </w:t>
      </w:r>
      <w:r w:rsidR="00EB7763" w:rsidRPr="00616282">
        <w:rPr>
          <w:rFonts w:ascii="Calibri" w:hAnsi="Calibri" w:cs="Calibri"/>
          <w:lang w:val="en-GB"/>
        </w:rPr>
        <w:t xml:space="preserve">sample </w:t>
      </w:r>
      <w:r w:rsidR="0068601A" w:rsidRPr="00616282">
        <w:rPr>
          <w:rFonts w:ascii="Calibri" w:hAnsi="Calibri" w:cs="Calibri"/>
          <w:lang w:val="en-GB"/>
        </w:rPr>
        <w:t xml:space="preserve">summary on the estimates of financed emissions in their portfolio. </w:t>
      </w:r>
      <w:r w:rsidR="00A35D4B" w:rsidRPr="00616282">
        <w:rPr>
          <w:rFonts w:ascii="Calibri" w:hAnsi="Calibri" w:cs="Calibri"/>
          <w:lang w:val="en-GB"/>
        </w:rPr>
        <w:t xml:space="preserve">As it can be seen, Scope 1 and 2 </w:t>
      </w:r>
      <w:r w:rsidR="00B7558A" w:rsidRPr="00B7558A">
        <w:rPr>
          <w:rFonts w:ascii="Calibri" w:hAnsi="Calibri" w:cs="Calibri"/>
          <w:lang w:val="en-GB"/>
        </w:rPr>
        <w:t xml:space="preserve">Greenhouse Gas </w:t>
      </w:r>
      <w:r w:rsidR="00B7558A">
        <w:rPr>
          <w:rFonts w:ascii="Calibri" w:hAnsi="Calibri" w:cs="Calibri"/>
          <w:lang w:val="en-GB"/>
        </w:rPr>
        <w:t>(</w:t>
      </w:r>
      <w:r w:rsidR="00A35D4B" w:rsidRPr="00616282">
        <w:rPr>
          <w:rFonts w:ascii="Calibri" w:hAnsi="Calibri" w:cs="Calibri"/>
          <w:lang w:val="en-GB"/>
        </w:rPr>
        <w:t>GHG</w:t>
      </w:r>
      <w:r w:rsidR="00B7558A">
        <w:rPr>
          <w:rFonts w:ascii="Calibri" w:hAnsi="Calibri" w:cs="Calibri"/>
          <w:lang w:val="en-GB"/>
        </w:rPr>
        <w:t>)</w:t>
      </w:r>
      <w:r w:rsidR="00A35D4B" w:rsidRPr="00616282">
        <w:rPr>
          <w:rFonts w:ascii="Calibri" w:hAnsi="Calibri" w:cs="Calibri"/>
          <w:lang w:val="en-GB"/>
        </w:rPr>
        <w:t xml:space="preserve"> Emissions are </w:t>
      </w:r>
      <w:r w:rsidR="00EB7763" w:rsidRPr="00616282">
        <w:rPr>
          <w:rFonts w:ascii="Calibri" w:hAnsi="Calibri" w:cs="Calibri"/>
          <w:lang w:val="en-GB"/>
        </w:rPr>
        <w:t>calculated for most sectors</w:t>
      </w:r>
      <w:r w:rsidR="00796B7E">
        <w:rPr>
          <w:rFonts w:ascii="Calibri" w:hAnsi="Calibri" w:cs="Calibri"/>
          <w:lang w:val="en-GB"/>
        </w:rPr>
        <w:t>;</w:t>
      </w:r>
      <w:r w:rsidR="00EB7763" w:rsidRPr="00616282">
        <w:rPr>
          <w:rFonts w:ascii="Calibri" w:hAnsi="Calibri" w:cs="Calibri"/>
          <w:lang w:val="en-GB"/>
        </w:rPr>
        <w:t xml:space="preserve"> however, the bank is still making strides to </w:t>
      </w:r>
      <w:r w:rsidR="00CF1B17" w:rsidRPr="00616282">
        <w:rPr>
          <w:rFonts w:ascii="Calibri" w:hAnsi="Calibri" w:cs="Calibri"/>
          <w:lang w:val="en-GB"/>
        </w:rPr>
        <w:t>estimate Scope 3 GHG Emissions</w:t>
      </w:r>
      <w:r w:rsidR="009C4B32" w:rsidRPr="00616282">
        <w:rPr>
          <w:rFonts w:ascii="Calibri" w:hAnsi="Calibri" w:cs="Calibri"/>
          <w:lang w:val="en-GB"/>
        </w:rPr>
        <w:t xml:space="preserve">. </w:t>
      </w:r>
    </w:p>
    <w:p w14:paraId="464DB9FF" w14:textId="77777777" w:rsidR="00CF1B17" w:rsidRPr="00616282" w:rsidRDefault="00CF1B17" w:rsidP="00B2310D">
      <w:pPr>
        <w:jc w:val="both"/>
        <w:rPr>
          <w:rFonts w:ascii="Calibri" w:hAnsi="Calibri" w:cs="Calibri"/>
          <w:lang w:val="en-GB"/>
        </w:rPr>
      </w:pPr>
    </w:p>
    <w:p w14:paraId="2F1F8E8B" w14:textId="41D2195D" w:rsidR="00CF1B17" w:rsidRPr="00616282" w:rsidRDefault="00CF1B17" w:rsidP="00616282">
      <w:pPr>
        <w:rPr>
          <w:rFonts w:ascii="Calibri" w:hAnsi="Calibri" w:cs="Calibri"/>
          <w:b/>
          <w:bCs/>
          <w:color w:val="ED7D31" w:themeColor="accent2"/>
          <w:lang w:val="en-GB"/>
        </w:rPr>
      </w:pPr>
      <w:bookmarkStart w:id="94" w:name="_Toc175223829"/>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14</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NatWest </w:t>
      </w:r>
      <w:r w:rsidR="00F06740" w:rsidRPr="00616282">
        <w:rPr>
          <w:rFonts w:ascii="Calibri" w:hAnsi="Calibri" w:cs="Calibri"/>
          <w:b/>
          <w:bCs/>
          <w:color w:val="ED7D31" w:themeColor="accent2"/>
          <w:lang w:val="en-GB"/>
        </w:rPr>
        <w:t>Sample of Financed Emissions and Carbon Intensity</w:t>
      </w:r>
      <w:bookmarkEnd w:id="94"/>
      <w:r w:rsidR="00F06740" w:rsidRPr="00616282">
        <w:rPr>
          <w:rFonts w:ascii="Calibri" w:hAnsi="Calibri" w:cs="Calibri"/>
          <w:b/>
          <w:bCs/>
          <w:color w:val="ED7D31" w:themeColor="accent2"/>
          <w:lang w:val="en-GB"/>
        </w:rPr>
        <w:t xml:space="preserve"> </w:t>
      </w:r>
    </w:p>
    <w:p w14:paraId="53E3403A" w14:textId="77777777" w:rsidR="00C340FF" w:rsidRPr="00616282" w:rsidRDefault="00C340FF" w:rsidP="00C340FF">
      <w:pPr>
        <w:pStyle w:val="ListParagraph"/>
        <w:rPr>
          <w:rFonts w:ascii="Calibri" w:hAnsi="Calibri" w:cs="Calibri"/>
        </w:rPr>
      </w:pPr>
    </w:p>
    <w:p w14:paraId="541EEFB6" w14:textId="748F2DB9" w:rsidR="00E6202D" w:rsidRPr="00616282" w:rsidRDefault="00B2310D" w:rsidP="00F06740">
      <w:pPr>
        <w:pStyle w:val="ListParagraph"/>
        <w:jc w:val="center"/>
        <w:rPr>
          <w:rFonts w:ascii="Calibri" w:hAnsi="Calibri" w:cs="Calibri"/>
          <w:lang w:val="en-GB"/>
        </w:rPr>
      </w:pPr>
      <w:r w:rsidRPr="00616282">
        <w:rPr>
          <w:rFonts w:ascii="Calibri" w:hAnsi="Calibri" w:cs="Calibri"/>
          <w:noProof/>
          <w:lang w:val="en-GB"/>
          <w14:ligatures w14:val="standardContextual"/>
        </w:rPr>
        <w:drawing>
          <wp:inline distT="0" distB="0" distL="0" distR="0" wp14:anchorId="33D9FD21" wp14:editId="64A4922A">
            <wp:extent cx="4581610" cy="2131200"/>
            <wp:effectExtent l="0" t="0" r="3175" b="2540"/>
            <wp:docPr id="14924602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460233" name="Picture 1492460233"/>
                    <pic:cNvPicPr/>
                  </pic:nvPicPr>
                  <pic:blipFill rotWithShape="1">
                    <a:blip r:embed="rId41" cstate="print">
                      <a:extLst>
                        <a:ext uri="{28A0092B-C50C-407E-A947-70E740481C1C}">
                          <a14:useLocalDpi xmlns:a14="http://schemas.microsoft.com/office/drawing/2010/main" val="0"/>
                        </a:ext>
                      </a:extLst>
                    </a:blip>
                    <a:srcRect t="1557"/>
                    <a:stretch/>
                  </pic:blipFill>
                  <pic:spPr bwMode="auto">
                    <a:xfrm>
                      <a:off x="0" y="0"/>
                      <a:ext cx="4581610" cy="2131200"/>
                    </a:xfrm>
                    <a:prstGeom prst="rect">
                      <a:avLst/>
                    </a:prstGeom>
                    <a:ln>
                      <a:noFill/>
                    </a:ln>
                    <a:extLst>
                      <a:ext uri="{53640926-AAD7-44D8-BBD7-CCE9431645EC}">
                        <a14:shadowObscured xmlns:a14="http://schemas.microsoft.com/office/drawing/2010/main"/>
                      </a:ext>
                    </a:extLst>
                  </pic:spPr>
                </pic:pic>
              </a:graphicData>
            </a:graphic>
          </wp:inline>
        </w:drawing>
      </w:r>
    </w:p>
    <w:p w14:paraId="3D3EF9AB" w14:textId="77777777" w:rsidR="00D955E1" w:rsidRPr="00616282" w:rsidRDefault="00664183" w:rsidP="00D62840">
      <w:pPr>
        <w:jc w:val="center"/>
        <w:rPr>
          <w:rFonts w:ascii="Calibri" w:hAnsi="Calibri" w:cs="Calibri"/>
        </w:rPr>
      </w:pPr>
      <w:r w:rsidRPr="00616282">
        <w:rPr>
          <w:rFonts w:ascii="Calibri" w:hAnsi="Calibri" w:cs="Calibri"/>
          <w:b/>
          <w:bCs/>
        </w:rPr>
        <w:t>Source</w:t>
      </w:r>
      <w:r w:rsidRPr="00616282">
        <w:rPr>
          <w:rFonts w:ascii="Calibri" w:hAnsi="Calibri" w:cs="Calibri"/>
        </w:rPr>
        <w:t xml:space="preserve">: </w:t>
      </w:r>
      <w:proofErr w:type="spellStart"/>
      <w:r w:rsidR="0068601A" w:rsidRPr="00616282">
        <w:rPr>
          <w:rFonts w:ascii="Calibri" w:hAnsi="Calibri" w:cs="Calibri"/>
        </w:rPr>
        <w:t>Natwest</w:t>
      </w:r>
      <w:proofErr w:type="spellEnd"/>
      <w:r w:rsidR="00D62840" w:rsidRPr="00616282">
        <w:rPr>
          <w:rFonts w:ascii="Calibri" w:hAnsi="Calibri" w:cs="Calibri"/>
        </w:rPr>
        <w:t xml:space="preserve">. 2022. </w:t>
      </w:r>
      <w:r w:rsidR="00D955E1" w:rsidRPr="00616282">
        <w:rPr>
          <w:rFonts w:ascii="Calibri" w:hAnsi="Calibri" w:cs="Calibri"/>
        </w:rPr>
        <w:t>Climate-related Disclosures Report</w:t>
      </w:r>
    </w:p>
    <w:p w14:paraId="215C431F" w14:textId="77777777" w:rsidR="006C700D" w:rsidRPr="00616282" w:rsidRDefault="006C700D" w:rsidP="006C700D">
      <w:pPr>
        <w:jc w:val="both"/>
        <w:rPr>
          <w:rFonts w:ascii="Calibri" w:hAnsi="Calibri" w:cs="Calibri"/>
          <w:lang w:val="en-GB"/>
        </w:rPr>
      </w:pPr>
    </w:p>
    <w:p w14:paraId="2B36D6F0" w14:textId="2B1A2CD1" w:rsidR="00D4073F" w:rsidRPr="00616282" w:rsidRDefault="00D4073F" w:rsidP="00D4073F">
      <w:pPr>
        <w:pStyle w:val="Heading3"/>
        <w:rPr>
          <w:rFonts w:ascii="Calibri" w:hAnsi="Calibri" w:cs="Calibri"/>
          <w:sz w:val="24"/>
          <w:lang w:val="en-GB"/>
        </w:rPr>
      </w:pPr>
      <w:bookmarkStart w:id="95" w:name="_Toc171908192"/>
      <w:r w:rsidRPr="00616282">
        <w:rPr>
          <w:rFonts w:ascii="Calibri" w:hAnsi="Calibri" w:cs="Calibri"/>
          <w:sz w:val="24"/>
          <w:lang w:val="en-GB"/>
        </w:rPr>
        <w:t>Climate-related targets</w:t>
      </w:r>
      <w:bookmarkEnd w:id="95"/>
    </w:p>
    <w:p w14:paraId="4AEADE9C" w14:textId="77777777" w:rsidR="00D4073F" w:rsidRPr="00616282" w:rsidRDefault="00D4073F" w:rsidP="00DC5130">
      <w:pPr>
        <w:jc w:val="both"/>
        <w:rPr>
          <w:rFonts w:ascii="Calibri" w:hAnsi="Calibri" w:cs="Calibri"/>
          <w:lang w:val="en-GB"/>
        </w:rPr>
      </w:pPr>
    </w:p>
    <w:p w14:paraId="64DE8BC4" w14:textId="30CDC8B6" w:rsidR="00EC4802" w:rsidRPr="00616282" w:rsidRDefault="006C700D" w:rsidP="00C662C5">
      <w:pPr>
        <w:jc w:val="both"/>
        <w:rPr>
          <w:rFonts w:ascii="Calibri" w:hAnsi="Calibri" w:cs="Calibri"/>
          <w:lang w:val="en-GB"/>
        </w:rPr>
      </w:pPr>
      <w:r w:rsidRPr="00616282">
        <w:rPr>
          <w:rFonts w:ascii="Calibri" w:hAnsi="Calibri" w:cs="Calibri"/>
          <w:lang w:val="en-GB"/>
        </w:rPr>
        <w:t>Similarly, the following is an illustration on how Barclays</w:t>
      </w:r>
      <w:r w:rsidR="004C3546" w:rsidRPr="00616282">
        <w:rPr>
          <w:rFonts w:ascii="Calibri" w:hAnsi="Calibri" w:cs="Calibri"/>
          <w:lang w:val="en-GB"/>
        </w:rPr>
        <w:t>’</w:t>
      </w:r>
      <w:r w:rsidRPr="00616282">
        <w:rPr>
          <w:rFonts w:ascii="Calibri" w:hAnsi="Calibri" w:cs="Calibri"/>
          <w:lang w:val="en-GB"/>
        </w:rPr>
        <w:t xml:space="preserve"> </w:t>
      </w:r>
      <w:r w:rsidR="004C3546" w:rsidRPr="00616282">
        <w:rPr>
          <w:rFonts w:ascii="Calibri" w:hAnsi="Calibri" w:cs="Calibri"/>
          <w:lang w:val="en-GB"/>
        </w:rPr>
        <w:t>aims at aligning business with climate-related opportunities</w:t>
      </w:r>
      <w:r w:rsidR="00561711" w:rsidRPr="00616282">
        <w:rPr>
          <w:rFonts w:ascii="Calibri" w:hAnsi="Calibri" w:cs="Calibri"/>
          <w:lang w:val="en-GB"/>
        </w:rPr>
        <w:t xml:space="preserve">, linked to their </w:t>
      </w:r>
      <w:r w:rsidR="0069134C" w:rsidRPr="00616282">
        <w:rPr>
          <w:rFonts w:ascii="Calibri" w:hAnsi="Calibri" w:cs="Calibri"/>
          <w:lang w:val="en-GB"/>
        </w:rPr>
        <w:t xml:space="preserve">short, </w:t>
      </w:r>
      <w:r w:rsidR="009C4B32" w:rsidRPr="00616282">
        <w:rPr>
          <w:rFonts w:ascii="Calibri" w:hAnsi="Calibri" w:cs="Calibri"/>
          <w:lang w:val="en-GB"/>
        </w:rPr>
        <w:t>medium,</w:t>
      </w:r>
      <w:r w:rsidR="0069134C" w:rsidRPr="00616282">
        <w:rPr>
          <w:rFonts w:ascii="Calibri" w:hAnsi="Calibri" w:cs="Calibri"/>
          <w:lang w:val="en-GB"/>
        </w:rPr>
        <w:t xml:space="preserve"> and long-term</w:t>
      </w:r>
      <w:r w:rsidR="00561711" w:rsidRPr="00616282">
        <w:rPr>
          <w:rFonts w:ascii="Calibri" w:hAnsi="Calibri" w:cs="Calibri"/>
          <w:lang w:val="en-GB"/>
        </w:rPr>
        <w:t xml:space="preserve"> targets. This entails a </w:t>
      </w:r>
      <w:r w:rsidR="00561711" w:rsidRPr="00616282">
        <w:rPr>
          <w:rFonts w:ascii="Calibri" w:hAnsi="Calibri" w:cs="Calibri"/>
          <w:lang w:val="en-GB"/>
        </w:rPr>
        <w:lastRenderedPageBreak/>
        <w:t xml:space="preserve">commitment to </w:t>
      </w:r>
      <w:r w:rsidR="0069134C" w:rsidRPr="00616282">
        <w:rPr>
          <w:rFonts w:ascii="Calibri" w:hAnsi="Calibri" w:cs="Calibri"/>
          <w:lang w:val="en-GB"/>
        </w:rPr>
        <w:t xml:space="preserve">capital allocations, considering future </w:t>
      </w:r>
      <w:r w:rsidR="00EE2352" w:rsidRPr="00616282">
        <w:rPr>
          <w:rFonts w:ascii="Calibri" w:hAnsi="Calibri" w:cs="Calibri"/>
          <w:lang w:val="en-GB"/>
        </w:rPr>
        <w:t>expenditure, financing</w:t>
      </w:r>
      <w:r w:rsidR="00796B7E">
        <w:rPr>
          <w:rFonts w:ascii="Calibri" w:hAnsi="Calibri" w:cs="Calibri"/>
          <w:lang w:val="en-GB"/>
        </w:rPr>
        <w:t>,</w:t>
      </w:r>
      <w:r w:rsidR="00EE2352" w:rsidRPr="00616282">
        <w:rPr>
          <w:rFonts w:ascii="Calibri" w:hAnsi="Calibri" w:cs="Calibri"/>
          <w:lang w:val="en-GB"/>
        </w:rPr>
        <w:t xml:space="preserve"> </w:t>
      </w:r>
      <w:r w:rsidR="0069134C" w:rsidRPr="00616282">
        <w:rPr>
          <w:rFonts w:ascii="Calibri" w:hAnsi="Calibri" w:cs="Calibri"/>
          <w:lang w:val="en-GB"/>
        </w:rPr>
        <w:t>and</w:t>
      </w:r>
      <w:r w:rsidR="00EE2352" w:rsidRPr="00616282">
        <w:rPr>
          <w:rFonts w:ascii="Calibri" w:hAnsi="Calibri" w:cs="Calibri"/>
          <w:lang w:val="en-GB"/>
        </w:rPr>
        <w:t xml:space="preserve"> investment deployed towards climate-related risks and </w:t>
      </w:r>
      <w:r w:rsidR="00D4073F" w:rsidRPr="00616282">
        <w:rPr>
          <w:rFonts w:ascii="Calibri" w:hAnsi="Calibri" w:cs="Calibri"/>
          <w:lang w:val="en-GB"/>
        </w:rPr>
        <w:t>opportunities.</w:t>
      </w:r>
      <w:r w:rsidR="00EC4802" w:rsidRPr="00616282">
        <w:rPr>
          <w:rFonts w:ascii="Calibri" w:hAnsi="Calibri" w:cs="Calibri"/>
          <w:lang w:val="en-GB"/>
        </w:rPr>
        <w:t xml:space="preserve"> This figure illustrates how the bank has defined </w:t>
      </w:r>
      <w:r w:rsidR="00CA5538" w:rsidRPr="00616282">
        <w:rPr>
          <w:rFonts w:ascii="Calibri" w:hAnsi="Calibri" w:cs="Calibri"/>
          <w:lang w:val="en-GB"/>
        </w:rPr>
        <w:t xml:space="preserve">the </w:t>
      </w:r>
      <w:r w:rsidR="00EC4802" w:rsidRPr="00616282">
        <w:rPr>
          <w:rFonts w:ascii="Calibri" w:hAnsi="Calibri" w:cs="Calibri"/>
          <w:lang w:val="en-GB"/>
        </w:rPr>
        <w:t>quantitative climate-related target</w:t>
      </w:r>
      <w:r w:rsidR="00CA5538" w:rsidRPr="00616282">
        <w:rPr>
          <w:rFonts w:ascii="Calibri" w:hAnsi="Calibri" w:cs="Calibri"/>
          <w:lang w:val="en-GB"/>
        </w:rPr>
        <w:t xml:space="preserve"> of reaching </w:t>
      </w:r>
      <w:r w:rsidR="008F61E2" w:rsidRPr="00616282">
        <w:rPr>
          <w:rFonts w:ascii="Calibri" w:hAnsi="Calibri" w:cs="Calibri"/>
          <w:lang w:val="en-GB"/>
        </w:rPr>
        <w:t xml:space="preserve">more than </w:t>
      </w:r>
      <w:r w:rsidR="003002D9">
        <w:rPr>
          <w:rFonts w:ascii="Calibri" w:hAnsi="Calibri" w:cs="Calibri"/>
          <w:lang w:val="en-GB"/>
        </w:rPr>
        <w:t xml:space="preserve">GBP </w:t>
      </w:r>
      <w:r w:rsidR="008F61E2" w:rsidRPr="00616282">
        <w:rPr>
          <w:rFonts w:ascii="Calibri" w:hAnsi="Calibri" w:cs="Calibri"/>
          <w:lang w:val="en-GB"/>
        </w:rPr>
        <w:t>100bn of green financing by 203</w:t>
      </w:r>
      <w:r w:rsidR="00796B7E">
        <w:rPr>
          <w:rFonts w:ascii="Calibri" w:hAnsi="Calibri" w:cs="Calibri"/>
          <w:lang w:val="en-GB"/>
        </w:rPr>
        <w:t>0</w:t>
      </w:r>
      <w:r w:rsidR="00CF3CDA" w:rsidRPr="00616282">
        <w:rPr>
          <w:rFonts w:ascii="Calibri" w:hAnsi="Calibri" w:cs="Calibri"/>
          <w:lang w:val="en-GB"/>
        </w:rPr>
        <w:t xml:space="preserve">, </w:t>
      </w:r>
      <w:r w:rsidR="008F61E2" w:rsidRPr="00616282">
        <w:rPr>
          <w:rFonts w:ascii="Calibri" w:hAnsi="Calibri" w:cs="Calibri"/>
          <w:lang w:val="en-GB"/>
        </w:rPr>
        <w:t xml:space="preserve">together with </w:t>
      </w:r>
      <w:r w:rsidR="00CF3CDA" w:rsidRPr="00616282">
        <w:rPr>
          <w:rFonts w:ascii="Calibri" w:hAnsi="Calibri" w:cs="Calibri"/>
          <w:lang w:val="en-GB"/>
        </w:rPr>
        <w:t>a tool for monitoring progress</w:t>
      </w:r>
      <w:r w:rsidR="00C662C5" w:rsidRPr="00616282">
        <w:rPr>
          <w:rFonts w:ascii="Calibri" w:hAnsi="Calibri" w:cs="Calibri"/>
          <w:lang w:val="en-GB"/>
        </w:rPr>
        <w:t xml:space="preserve"> in terms of geography and financial products. </w:t>
      </w:r>
    </w:p>
    <w:p w14:paraId="2217E42B" w14:textId="77777777" w:rsidR="005D4BCB" w:rsidRPr="00616282" w:rsidRDefault="005D4BCB" w:rsidP="005D4BCB">
      <w:pPr>
        <w:pStyle w:val="ListParagraph"/>
        <w:rPr>
          <w:rFonts w:ascii="Calibri" w:hAnsi="Calibri" w:cs="Calibri"/>
          <w:lang w:val="en-GB"/>
        </w:rPr>
      </w:pPr>
    </w:p>
    <w:p w14:paraId="1746BE2D" w14:textId="6D185881" w:rsidR="00DC5130" w:rsidRPr="00616282" w:rsidRDefault="00DC5130" w:rsidP="00616282">
      <w:pPr>
        <w:rPr>
          <w:rFonts w:ascii="Calibri" w:hAnsi="Calibri" w:cs="Calibri"/>
          <w:b/>
          <w:bCs/>
          <w:color w:val="ED7D31" w:themeColor="accent2"/>
          <w:lang w:val="en-GB"/>
        </w:rPr>
      </w:pPr>
      <w:bookmarkStart w:id="96" w:name="_Toc175223830"/>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15</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Barclays’</w:t>
      </w:r>
      <w:r w:rsidR="000C1BFD" w:rsidRPr="00616282">
        <w:rPr>
          <w:rFonts w:ascii="Calibri" w:hAnsi="Calibri" w:cs="Calibri"/>
          <w:b/>
          <w:bCs/>
          <w:color w:val="ED7D31" w:themeColor="accent2"/>
          <w:lang w:val="en-GB"/>
        </w:rPr>
        <w:t xml:space="preserve"> green financing commitments and progress toward 2030 goal</w:t>
      </w:r>
      <w:bookmarkEnd w:id="96"/>
      <w:r w:rsidRPr="00616282">
        <w:rPr>
          <w:rFonts w:ascii="Calibri" w:hAnsi="Calibri" w:cs="Calibri"/>
          <w:b/>
          <w:bCs/>
          <w:color w:val="ED7D31" w:themeColor="accent2"/>
          <w:lang w:val="en-GB"/>
        </w:rPr>
        <w:t xml:space="preserve"> </w:t>
      </w:r>
    </w:p>
    <w:p w14:paraId="3A5D8D80" w14:textId="50D4CF66" w:rsidR="00C340FF" w:rsidRPr="00616282" w:rsidRDefault="00CA4F0F" w:rsidP="000C1BFD">
      <w:pPr>
        <w:jc w:val="center"/>
        <w:rPr>
          <w:rFonts w:ascii="Calibri" w:hAnsi="Calibri" w:cs="Calibri"/>
          <w:lang w:val="en-GB"/>
        </w:rPr>
      </w:pPr>
      <w:r w:rsidRPr="00616282">
        <w:rPr>
          <w:rFonts w:ascii="Calibri" w:hAnsi="Calibri" w:cs="Calibri"/>
          <w:noProof/>
          <w:lang w:val="en-GB"/>
        </w:rPr>
        <w:drawing>
          <wp:anchor distT="0" distB="0" distL="114300" distR="114300" simplePos="0" relativeHeight="251658242" behindDoc="0" locked="0" layoutInCell="1" allowOverlap="1" wp14:anchorId="7BCF6FB9" wp14:editId="2000AEEB">
            <wp:simplePos x="0" y="0"/>
            <wp:positionH relativeFrom="column">
              <wp:posOffset>3013306</wp:posOffset>
            </wp:positionH>
            <wp:positionV relativeFrom="paragraph">
              <wp:posOffset>30884</wp:posOffset>
            </wp:positionV>
            <wp:extent cx="2974975" cy="2023110"/>
            <wp:effectExtent l="0" t="0" r="0" b="0"/>
            <wp:wrapTopAndBottom/>
            <wp:docPr id="554944527"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944527" name="Picture 1" descr="A screenshot of a graph&#10;&#10;Description automatically generated"/>
                    <pic:cNvPicPr/>
                  </pic:nvPicPr>
                  <pic:blipFill rotWithShape="1">
                    <a:blip r:embed="rId42" cstate="print">
                      <a:clrChange>
                        <a:clrFrom>
                          <a:srgbClr val="F3F3F4"/>
                        </a:clrFrom>
                        <a:clrTo>
                          <a:srgbClr val="F3F3F4">
                            <a:alpha val="0"/>
                          </a:srgbClr>
                        </a:clrTo>
                      </a:clrChange>
                      <a:extLst>
                        <a:ext uri="{28A0092B-C50C-407E-A947-70E740481C1C}">
                          <a14:useLocalDpi xmlns:a14="http://schemas.microsoft.com/office/drawing/2010/main" val="0"/>
                        </a:ext>
                      </a:extLst>
                    </a:blip>
                    <a:srcRect t="47132"/>
                    <a:stretch/>
                  </pic:blipFill>
                  <pic:spPr bwMode="auto">
                    <a:xfrm>
                      <a:off x="0" y="0"/>
                      <a:ext cx="2974975" cy="202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16282">
        <w:rPr>
          <w:rFonts w:ascii="Calibri" w:hAnsi="Calibri" w:cs="Calibri"/>
          <w:noProof/>
          <w:lang w:val="en-GB"/>
        </w:rPr>
        <w:drawing>
          <wp:anchor distT="0" distB="0" distL="114300" distR="114300" simplePos="0" relativeHeight="251658241" behindDoc="0" locked="0" layoutInCell="1" allowOverlap="1" wp14:anchorId="73216C8D" wp14:editId="72396C67">
            <wp:simplePos x="0" y="0"/>
            <wp:positionH relativeFrom="column">
              <wp:posOffset>76200</wp:posOffset>
            </wp:positionH>
            <wp:positionV relativeFrom="paragraph">
              <wp:posOffset>0</wp:posOffset>
            </wp:positionV>
            <wp:extent cx="2974975" cy="1530350"/>
            <wp:effectExtent l="0" t="0" r="0" b="0"/>
            <wp:wrapTopAndBottom/>
            <wp:docPr id="17984139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413970" name="Picture 1798413970"/>
                    <pic:cNvPicPr/>
                  </pic:nvPicPr>
                  <pic:blipFill rotWithShape="1">
                    <a:blip r:embed="rId43" cstate="print">
                      <a:clrChange>
                        <a:clrFrom>
                          <a:srgbClr val="F3F3F4"/>
                        </a:clrFrom>
                        <a:clrTo>
                          <a:srgbClr val="F3F3F4">
                            <a:alpha val="0"/>
                          </a:srgbClr>
                        </a:clrTo>
                      </a:clrChange>
                      <a:extLst>
                        <a:ext uri="{28A0092B-C50C-407E-A947-70E740481C1C}">
                          <a14:useLocalDpi xmlns:a14="http://schemas.microsoft.com/office/drawing/2010/main" val="0"/>
                        </a:ext>
                      </a:extLst>
                    </a:blip>
                    <a:srcRect t="7151" b="52853"/>
                    <a:stretch/>
                  </pic:blipFill>
                  <pic:spPr bwMode="auto">
                    <a:xfrm>
                      <a:off x="0" y="0"/>
                      <a:ext cx="2974975" cy="1530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1D93071" w14:textId="49717337" w:rsidR="00B552C1" w:rsidRPr="00616282" w:rsidRDefault="00B552C1" w:rsidP="000C1BFD">
      <w:pPr>
        <w:jc w:val="center"/>
        <w:rPr>
          <w:rFonts w:ascii="Calibri" w:hAnsi="Calibri" w:cs="Calibri"/>
        </w:rPr>
      </w:pPr>
      <w:r w:rsidRPr="00616282">
        <w:rPr>
          <w:rFonts w:ascii="Calibri" w:hAnsi="Calibri" w:cs="Calibri"/>
          <w:b/>
          <w:bCs/>
          <w:lang w:val="en-GB"/>
        </w:rPr>
        <w:t>Source</w:t>
      </w:r>
      <w:r w:rsidRPr="00616282">
        <w:rPr>
          <w:rFonts w:ascii="Calibri" w:hAnsi="Calibri" w:cs="Calibri"/>
          <w:lang w:val="en-GB"/>
        </w:rPr>
        <w:t>: Barclays’</w:t>
      </w:r>
      <w:r w:rsidR="00D4073F" w:rsidRPr="00616282">
        <w:rPr>
          <w:rFonts w:ascii="Calibri" w:hAnsi="Calibri" w:cs="Calibri"/>
          <w:lang w:val="en-GB"/>
        </w:rPr>
        <w:t>. 2022.</w:t>
      </w:r>
      <w:r w:rsidRPr="00616282">
        <w:rPr>
          <w:rFonts w:ascii="Calibri" w:hAnsi="Calibri" w:cs="Calibri"/>
          <w:lang w:val="en-GB"/>
        </w:rPr>
        <w:t xml:space="preserve"> Climate Strategy, Targets and Progress</w:t>
      </w:r>
    </w:p>
    <w:p w14:paraId="2B7D6E44" w14:textId="77777777" w:rsidR="000275C4" w:rsidRPr="00616282" w:rsidRDefault="000275C4" w:rsidP="00616282">
      <w:pPr>
        <w:jc w:val="both"/>
        <w:outlineLvl w:val="0"/>
        <w:rPr>
          <w:rFonts w:ascii="Calibri" w:hAnsi="Calibri" w:cs="Calibri"/>
          <w:lang w:val="en-GB"/>
        </w:rPr>
      </w:pPr>
    </w:p>
    <w:p w14:paraId="21F04D54" w14:textId="2915023B" w:rsidR="00ED0409" w:rsidRPr="00616282" w:rsidRDefault="00ED0409" w:rsidP="00616282">
      <w:pPr>
        <w:jc w:val="both"/>
        <w:rPr>
          <w:rFonts w:ascii="Calibri" w:hAnsi="Calibri" w:cs="Calibri"/>
          <w:lang w:val="en-GB"/>
        </w:rPr>
      </w:pPr>
      <w:bookmarkStart w:id="97" w:name="_Toc167079308"/>
      <w:r w:rsidRPr="00616282">
        <w:rPr>
          <w:rFonts w:ascii="Calibri" w:hAnsi="Calibri" w:cs="Calibri"/>
          <w:lang w:val="en-GB"/>
        </w:rPr>
        <w:t xml:space="preserve">The Framework Templates </w:t>
      </w:r>
      <w:r w:rsidR="0051015D" w:rsidRPr="00616282">
        <w:rPr>
          <w:rFonts w:ascii="Calibri" w:hAnsi="Calibri" w:cs="Calibri"/>
          <w:lang w:val="en-GB"/>
        </w:rPr>
        <w:t xml:space="preserve">provide flexibility for banks to include metrics and targets they deem appropriate and fit to their business model and strategy. </w:t>
      </w:r>
      <w:r w:rsidR="002C6127" w:rsidRPr="00616282">
        <w:rPr>
          <w:rFonts w:ascii="Calibri" w:hAnsi="Calibri" w:cs="Calibri"/>
          <w:lang w:val="en-GB"/>
        </w:rPr>
        <w:t xml:space="preserve">Voluntary portions are </w:t>
      </w:r>
      <w:r w:rsidR="00781419" w:rsidRPr="00616282">
        <w:rPr>
          <w:rFonts w:ascii="Calibri" w:hAnsi="Calibri" w:cs="Calibri"/>
          <w:lang w:val="en-GB"/>
        </w:rPr>
        <w:t>highlighted in the Framework</w:t>
      </w:r>
      <w:r w:rsidR="003002D9">
        <w:rPr>
          <w:rFonts w:ascii="Calibri" w:hAnsi="Calibri" w:cs="Calibri"/>
          <w:lang w:val="en-GB"/>
        </w:rPr>
        <w:t>,</w:t>
      </w:r>
      <w:r w:rsidR="00781419" w:rsidRPr="00616282">
        <w:rPr>
          <w:rFonts w:ascii="Calibri" w:hAnsi="Calibri" w:cs="Calibri"/>
          <w:lang w:val="en-GB"/>
        </w:rPr>
        <w:t xml:space="preserve"> including the alignment metrics tab (see </w:t>
      </w:r>
      <w:r w:rsidR="00CD291C" w:rsidRPr="00616282">
        <w:rPr>
          <w:rFonts w:ascii="Calibri" w:hAnsi="Calibri" w:cs="Calibri"/>
          <w:lang w:val="en-GB"/>
        </w:rPr>
        <w:fldChar w:fldCharType="begin"/>
      </w:r>
      <w:r w:rsidR="00CD291C" w:rsidRPr="00616282">
        <w:rPr>
          <w:rFonts w:ascii="Calibri" w:hAnsi="Calibri" w:cs="Calibri"/>
          <w:lang w:val="en-GB"/>
        </w:rPr>
        <w:instrText xml:space="preserve"> REF _Ref167078862 \h </w:instrText>
      </w:r>
      <w:r w:rsidR="001E0563" w:rsidRPr="00616282">
        <w:rPr>
          <w:rFonts w:ascii="Calibri" w:hAnsi="Calibri" w:cs="Calibri"/>
          <w:lang w:val="en-GB"/>
        </w:rPr>
        <w:instrText xml:space="preserve"> \* MERGEFORMAT </w:instrText>
      </w:r>
      <w:r w:rsidR="00CD291C" w:rsidRPr="00616282">
        <w:rPr>
          <w:rFonts w:ascii="Calibri" w:hAnsi="Calibri" w:cs="Calibri"/>
          <w:lang w:val="en-GB"/>
        </w:rPr>
      </w:r>
      <w:r w:rsidR="00CD291C" w:rsidRPr="00616282">
        <w:rPr>
          <w:rFonts w:ascii="Calibri" w:hAnsi="Calibri" w:cs="Calibri"/>
          <w:lang w:val="en-GB"/>
        </w:rPr>
        <w:fldChar w:fldCharType="separate"/>
      </w:r>
      <w:r w:rsidR="0096670A" w:rsidRPr="0096670A">
        <w:rPr>
          <w:rFonts w:ascii="Calibri" w:hAnsi="Calibri" w:cs="Calibri"/>
          <w:b/>
          <w:color w:val="ED7D31" w:themeColor="accent2"/>
          <w:lang w:val="en-GB"/>
        </w:rPr>
        <w:t xml:space="preserve">Table </w:t>
      </w:r>
      <w:r w:rsidR="0096670A" w:rsidRPr="0096670A">
        <w:rPr>
          <w:rFonts w:ascii="Calibri" w:hAnsi="Calibri" w:cs="Calibri"/>
          <w:b/>
          <w:i/>
          <w:iCs/>
          <w:noProof/>
          <w:color w:val="ED7D31" w:themeColor="accent2"/>
          <w:lang w:val="en-GB"/>
        </w:rPr>
        <w:t>14.</w:t>
      </w:r>
      <w:r w:rsidR="0096670A" w:rsidRPr="0096670A">
        <w:rPr>
          <w:rFonts w:ascii="Calibri" w:hAnsi="Calibri" w:cs="Calibri"/>
          <w:b/>
          <w:color w:val="ED7D31" w:themeColor="accent2"/>
          <w:lang w:val="en-GB"/>
        </w:rPr>
        <w:t xml:space="preserve"> </w:t>
      </w:r>
      <w:r w:rsidR="0096670A" w:rsidRPr="0096670A">
        <w:rPr>
          <w:rFonts w:ascii="Calibri" w:hAnsi="Calibri" w:cs="Calibri"/>
          <w:b/>
          <w:i/>
          <w:iCs/>
          <w:color w:val="ED7D31" w:themeColor="accent2"/>
          <w:lang w:val="en-GB"/>
        </w:rPr>
        <w:t>Template for reporting</w:t>
      </w:r>
      <w:r w:rsidR="0096670A" w:rsidRPr="0096670A" w:rsidDel="003B2AB0">
        <w:rPr>
          <w:rFonts w:ascii="Calibri" w:hAnsi="Calibri" w:cs="Calibri"/>
          <w:b/>
          <w:i/>
          <w:iCs/>
          <w:color w:val="ED7D31" w:themeColor="accent2"/>
          <w:lang w:val="en-GB"/>
        </w:rPr>
        <w:t xml:space="preserve"> </w:t>
      </w:r>
      <w:r w:rsidR="0096670A" w:rsidRPr="0096670A">
        <w:rPr>
          <w:rFonts w:ascii="Calibri" w:hAnsi="Calibri" w:cs="Calibri"/>
          <w:b/>
          <w:i/>
          <w:iCs/>
          <w:color w:val="ED7D31" w:themeColor="accent2"/>
          <w:lang w:val="en-GB"/>
        </w:rPr>
        <w:t>optional alignment</w:t>
      </w:r>
      <w:r w:rsidR="0096670A" w:rsidRPr="00616282">
        <w:rPr>
          <w:rFonts w:ascii="Calibri" w:hAnsi="Calibri" w:cs="Calibri"/>
          <w:b/>
          <w:bCs/>
          <w:color w:val="ED7D31" w:themeColor="accent2"/>
          <w:lang w:val="en-GB"/>
        </w:rPr>
        <w:t xml:space="preserve"> metrics </w:t>
      </w:r>
      <w:r w:rsidR="00CD291C" w:rsidRPr="00616282">
        <w:rPr>
          <w:rFonts w:ascii="Calibri" w:hAnsi="Calibri" w:cs="Calibri"/>
          <w:lang w:val="en-GB"/>
        </w:rPr>
        <w:fldChar w:fldCharType="end"/>
      </w:r>
      <w:r w:rsidR="00CD291C" w:rsidRPr="00616282">
        <w:rPr>
          <w:rFonts w:ascii="Calibri" w:hAnsi="Calibri" w:cs="Calibri"/>
          <w:lang w:val="en-GB"/>
        </w:rPr>
        <w:t>).</w:t>
      </w:r>
      <w:bookmarkEnd w:id="97"/>
      <w:r w:rsidR="00CD291C" w:rsidRPr="00616282">
        <w:rPr>
          <w:rFonts w:ascii="Calibri" w:hAnsi="Calibri" w:cs="Calibri"/>
          <w:lang w:val="en-GB"/>
        </w:rPr>
        <w:t xml:space="preserve"> </w:t>
      </w:r>
    </w:p>
    <w:p w14:paraId="30366038" w14:textId="77777777" w:rsidR="00516E79" w:rsidRPr="00616282" w:rsidRDefault="00516E79" w:rsidP="00FB0DA0">
      <w:pPr>
        <w:outlineLvl w:val="0"/>
        <w:rPr>
          <w:rFonts w:ascii="Calibri" w:hAnsi="Calibri" w:cs="Calibri"/>
          <w:lang w:val="en-GB"/>
        </w:rPr>
      </w:pPr>
    </w:p>
    <w:p w14:paraId="4FAC859D" w14:textId="4FDD1213" w:rsidR="00516E79" w:rsidRPr="00616282" w:rsidRDefault="00A7466B" w:rsidP="00616282">
      <w:pPr>
        <w:pStyle w:val="Caption"/>
        <w:rPr>
          <w:rFonts w:ascii="Calibri" w:hAnsi="Calibri" w:cs="Calibri"/>
          <w:b/>
          <w:bCs/>
          <w:color w:val="ED7D31" w:themeColor="accent2"/>
          <w:lang w:val="en-GB"/>
        </w:rPr>
      </w:pPr>
      <w:bookmarkStart w:id="98" w:name="_Toc171908212"/>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18</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516E79" w:rsidRPr="00616282">
        <w:rPr>
          <w:rFonts w:ascii="Calibri" w:hAnsi="Calibri" w:cs="Calibri"/>
          <w:b/>
          <w:bCs/>
          <w:i w:val="0"/>
          <w:iCs w:val="0"/>
          <w:color w:val="ED7D31" w:themeColor="accent2"/>
          <w:lang w:val="en-GB"/>
        </w:rPr>
        <w:t>Core Metrics &amp; Targets</w:t>
      </w:r>
      <w:r w:rsidR="00D815E3" w:rsidRPr="00616282">
        <w:rPr>
          <w:rFonts w:ascii="Calibri" w:hAnsi="Calibri" w:cs="Calibri"/>
          <w:b/>
          <w:bCs/>
          <w:i w:val="0"/>
          <w:iCs w:val="0"/>
          <w:color w:val="ED7D31" w:themeColor="accent2"/>
          <w:lang w:val="en-GB"/>
        </w:rPr>
        <w:t xml:space="preserve"> (dark are </w:t>
      </w:r>
      <w:r w:rsidR="00D651CF" w:rsidRPr="00616282">
        <w:rPr>
          <w:rFonts w:ascii="Calibri" w:hAnsi="Calibri" w:cs="Calibri"/>
          <w:b/>
          <w:bCs/>
          <w:i w:val="0"/>
          <w:iCs w:val="0"/>
          <w:color w:val="ED7D31" w:themeColor="accent2"/>
          <w:lang w:val="en-GB"/>
        </w:rPr>
        <w:t>required, light grey voluntary)</w:t>
      </w:r>
      <w:bookmarkEnd w:id="98"/>
    </w:p>
    <w:p w14:paraId="5FB2FB9B" w14:textId="355A59BC" w:rsidR="00516E79" w:rsidRPr="00616282" w:rsidRDefault="00A7466B" w:rsidP="00F954E3">
      <w:pPr>
        <w:rPr>
          <w:rFonts w:ascii="Calibri" w:hAnsi="Calibri" w:cs="Calibri"/>
          <w:lang w:val="en-GB"/>
        </w:rPr>
      </w:pPr>
      <w:r w:rsidRPr="00616282">
        <w:rPr>
          <w:rFonts w:ascii="Calibri" w:hAnsi="Calibri" w:cs="Calibri"/>
          <w:noProof/>
          <w:lang w:val="en-GB"/>
        </w:rPr>
        <w:drawing>
          <wp:inline distT="0" distB="0" distL="0" distR="0" wp14:anchorId="7D30DBED" wp14:editId="68C663D1">
            <wp:extent cx="5731510" cy="3095625"/>
            <wp:effectExtent l="0" t="0" r="0" b="3175"/>
            <wp:docPr id="1427231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231171" name=""/>
                    <pic:cNvPicPr/>
                  </pic:nvPicPr>
                  <pic:blipFill>
                    <a:blip r:embed="rId44"/>
                    <a:stretch>
                      <a:fillRect/>
                    </a:stretch>
                  </pic:blipFill>
                  <pic:spPr>
                    <a:xfrm>
                      <a:off x="0" y="0"/>
                      <a:ext cx="5731510" cy="3095625"/>
                    </a:xfrm>
                    <a:prstGeom prst="rect">
                      <a:avLst/>
                    </a:prstGeom>
                  </pic:spPr>
                </pic:pic>
              </a:graphicData>
            </a:graphic>
          </wp:inline>
        </w:drawing>
      </w:r>
    </w:p>
    <w:p w14:paraId="3D40289D" w14:textId="7777777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Adapted from European Banking Authority. 2022. Final</w:t>
      </w:r>
      <w:r w:rsidRPr="00616282">
        <w:rPr>
          <w:rFonts w:ascii="Calibri" w:hAnsi="Calibri" w:cs="Calibri"/>
          <w:sz w:val="20"/>
          <w:szCs w:val="20"/>
        </w:rPr>
        <w:t xml:space="preserve"> report draft implementing technical standards (ITS) on prudential disclosures on ESG. </w:t>
      </w:r>
    </w:p>
    <w:p w14:paraId="79876BF1" w14:textId="62F8895E" w:rsidR="00AF7F4C" w:rsidRPr="00616282" w:rsidRDefault="00AF7F4C" w:rsidP="00FB0DA0">
      <w:pPr>
        <w:outlineLvl w:val="0"/>
        <w:rPr>
          <w:rFonts w:ascii="Calibri" w:hAnsi="Calibri" w:cs="Calibri"/>
          <w:lang w:val="en-GB"/>
        </w:rPr>
      </w:pPr>
    </w:p>
    <w:p w14:paraId="6C2BDAEB" w14:textId="1F58B914" w:rsidR="001A2E36" w:rsidRDefault="00A95593" w:rsidP="0008057D">
      <w:pPr>
        <w:jc w:val="both"/>
        <w:rPr>
          <w:rFonts w:ascii="Calibri" w:hAnsi="Calibri" w:cs="Calibri"/>
          <w:lang w:val="en-GB"/>
        </w:rPr>
      </w:pPr>
      <w:bookmarkStart w:id="99" w:name="_Toc167079310"/>
      <w:r w:rsidRPr="00616282">
        <w:rPr>
          <w:rFonts w:ascii="Calibri" w:hAnsi="Calibri" w:cs="Calibri"/>
          <w:lang w:val="en-GB"/>
        </w:rPr>
        <w:lastRenderedPageBreak/>
        <w:t xml:space="preserve">The list encapsulated in Core Metrics &amp; Targets is not exhaustive. Indeed, there is </w:t>
      </w:r>
      <w:r w:rsidR="009D32E1" w:rsidRPr="00616282">
        <w:rPr>
          <w:rFonts w:ascii="Calibri" w:hAnsi="Calibri" w:cs="Calibri"/>
          <w:lang w:val="en-GB"/>
        </w:rPr>
        <w:t>room for additional metrics and targets as defined by banks. Resilience and climate adaptation metrics should play a critical role for banks in Kenya</w:t>
      </w:r>
      <w:r w:rsidR="003002D9">
        <w:rPr>
          <w:rFonts w:ascii="Calibri" w:hAnsi="Calibri" w:cs="Calibri"/>
          <w:lang w:val="en-GB"/>
        </w:rPr>
        <w:t>,</w:t>
      </w:r>
      <w:r w:rsidR="009D32E1" w:rsidRPr="00616282">
        <w:rPr>
          <w:rFonts w:ascii="Calibri" w:hAnsi="Calibri" w:cs="Calibri"/>
          <w:lang w:val="en-GB"/>
        </w:rPr>
        <w:t xml:space="preserve"> given the prevalence of physical climate-related risks.</w:t>
      </w:r>
      <w:r w:rsidR="00A7466B" w:rsidRPr="00616282" w:rsidDel="00A7466B">
        <w:rPr>
          <w:rFonts w:ascii="Calibri" w:hAnsi="Calibri" w:cs="Calibri"/>
          <w:lang w:val="en-GB"/>
        </w:rPr>
        <w:t xml:space="preserve"> </w:t>
      </w:r>
      <w:bookmarkEnd w:id="99"/>
    </w:p>
    <w:p w14:paraId="7C8BA3CC" w14:textId="71624BD9" w:rsidR="00467B15" w:rsidRPr="00360D47" w:rsidRDefault="001A2E36" w:rsidP="00360D47">
      <w:pPr>
        <w:pStyle w:val="Heading1"/>
        <w:pBdr>
          <w:bottom w:val="single" w:sz="8" w:space="1" w:color="2E74B5" w:themeColor="accent5" w:themeShade="BF"/>
        </w:pBdr>
        <w:rPr>
          <w:rFonts w:ascii="Calibri" w:hAnsi="Calibri" w:cs="Calibri"/>
        </w:rPr>
      </w:pPr>
      <w:bookmarkStart w:id="100" w:name="_Toc171908193"/>
      <w:r w:rsidRPr="00360D47">
        <w:rPr>
          <w:rFonts w:ascii="Calibri" w:hAnsi="Calibri" w:cs="Calibri"/>
        </w:rPr>
        <w:t>Implementation timeline</w:t>
      </w:r>
      <w:bookmarkEnd w:id="100"/>
    </w:p>
    <w:p w14:paraId="20C13B8A" w14:textId="77777777" w:rsidR="00D06CA3" w:rsidRDefault="00D06CA3">
      <w:pPr>
        <w:rPr>
          <w:rFonts w:ascii="Calibri" w:hAnsi="Calibri" w:cs="Calibri"/>
          <w:lang w:val="en-GB"/>
        </w:rPr>
      </w:pPr>
    </w:p>
    <w:tbl>
      <w:tblPr>
        <w:tblStyle w:val="TableGridLight"/>
        <w:tblW w:w="9351" w:type="dxa"/>
        <w:tblLayout w:type="fixed"/>
        <w:tblLook w:val="04A0" w:firstRow="1" w:lastRow="0" w:firstColumn="1" w:lastColumn="0" w:noHBand="0" w:noVBand="1"/>
      </w:tblPr>
      <w:tblGrid>
        <w:gridCol w:w="6658"/>
        <w:gridCol w:w="2693"/>
      </w:tblGrid>
      <w:tr w:rsidR="00F4660B" w:rsidRPr="00F4660B" w14:paraId="4E392707" w14:textId="77777777" w:rsidTr="0008057D">
        <w:trPr>
          <w:trHeight w:val="20"/>
        </w:trPr>
        <w:tc>
          <w:tcPr>
            <w:tcW w:w="6658" w:type="dxa"/>
            <w:shd w:val="clear" w:color="auto" w:fill="BFBFBF" w:themeFill="background1" w:themeFillShade="BF"/>
            <w:noWrap/>
            <w:hideMark/>
          </w:tcPr>
          <w:p w14:paraId="52E49C09" w14:textId="77777777" w:rsidR="00F4660B" w:rsidRPr="00167446" w:rsidRDefault="00F4660B" w:rsidP="0008057D">
            <w:pPr>
              <w:jc w:val="center"/>
              <w:rPr>
                <w:rFonts w:ascii="Calibri" w:hAnsi="Calibri" w:cs="Calibri"/>
                <w:b/>
                <w:bCs/>
                <w:color w:val="000000"/>
              </w:rPr>
            </w:pPr>
            <w:r w:rsidRPr="00167446">
              <w:rPr>
                <w:rFonts w:ascii="Calibri" w:hAnsi="Calibri" w:cs="Calibri"/>
                <w:b/>
                <w:bCs/>
                <w:color w:val="000000"/>
                <w:sz w:val="24"/>
                <w:szCs w:val="24"/>
              </w:rPr>
              <w:t>Activity</w:t>
            </w:r>
          </w:p>
        </w:tc>
        <w:tc>
          <w:tcPr>
            <w:tcW w:w="2693" w:type="dxa"/>
            <w:shd w:val="clear" w:color="auto" w:fill="BFBFBF" w:themeFill="background1" w:themeFillShade="BF"/>
            <w:noWrap/>
            <w:hideMark/>
          </w:tcPr>
          <w:p w14:paraId="2742F18B" w14:textId="77777777" w:rsidR="00F4660B" w:rsidRPr="00167446" w:rsidRDefault="00F4660B" w:rsidP="0008057D">
            <w:pPr>
              <w:jc w:val="center"/>
              <w:rPr>
                <w:rFonts w:ascii="Calibri" w:hAnsi="Calibri" w:cs="Calibri"/>
                <w:b/>
                <w:bCs/>
                <w:color w:val="000000"/>
              </w:rPr>
            </w:pPr>
            <w:r w:rsidRPr="00167446">
              <w:rPr>
                <w:rFonts w:ascii="Calibri" w:hAnsi="Calibri" w:cs="Calibri"/>
                <w:b/>
                <w:bCs/>
                <w:color w:val="000000"/>
                <w:sz w:val="24"/>
                <w:szCs w:val="24"/>
              </w:rPr>
              <w:t>Period/Dates</w:t>
            </w:r>
          </w:p>
        </w:tc>
      </w:tr>
      <w:tr w:rsidR="00F4660B" w:rsidRPr="00F4660B" w14:paraId="05BFAD56" w14:textId="77777777" w:rsidTr="0008057D">
        <w:trPr>
          <w:trHeight w:val="20"/>
        </w:trPr>
        <w:tc>
          <w:tcPr>
            <w:tcW w:w="6658" w:type="dxa"/>
            <w:noWrap/>
            <w:hideMark/>
          </w:tcPr>
          <w:p w14:paraId="019B26F7"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Stakeholder Consultations</w:t>
            </w:r>
          </w:p>
        </w:tc>
        <w:tc>
          <w:tcPr>
            <w:tcW w:w="2693" w:type="dxa"/>
            <w:noWrap/>
            <w:hideMark/>
          </w:tcPr>
          <w:p w14:paraId="38328907" w14:textId="77777777" w:rsidR="00F4660B" w:rsidRPr="00167446" w:rsidRDefault="00F4660B" w:rsidP="0008057D">
            <w:pPr>
              <w:jc w:val="center"/>
              <w:rPr>
                <w:rFonts w:ascii="Calibri" w:hAnsi="Calibri" w:cs="Calibri"/>
                <w:color w:val="000000"/>
                <w:lang w:val="en-US"/>
              </w:rPr>
            </w:pPr>
            <w:r w:rsidRPr="00167446">
              <w:rPr>
                <w:rFonts w:ascii="Calibri" w:hAnsi="Calibri" w:cs="Calibri"/>
                <w:color w:val="000000"/>
                <w:sz w:val="24"/>
                <w:szCs w:val="24"/>
              </w:rPr>
              <w:t>Aug – Oct 2024</w:t>
            </w:r>
          </w:p>
        </w:tc>
      </w:tr>
      <w:tr w:rsidR="00F4660B" w:rsidRPr="00F4660B" w14:paraId="486B930F" w14:textId="77777777" w:rsidTr="0008057D">
        <w:trPr>
          <w:trHeight w:val="20"/>
        </w:trPr>
        <w:tc>
          <w:tcPr>
            <w:tcW w:w="6658" w:type="dxa"/>
            <w:noWrap/>
          </w:tcPr>
          <w:p w14:paraId="25696860"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Refinement of the Enhanced Climate Disclosure Framework</w:t>
            </w:r>
          </w:p>
        </w:tc>
        <w:tc>
          <w:tcPr>
            <w:tcW w:w="2693" w:type="dxa"/>
            <w:noWrap/>
          </w:tcPr>
          <w:p w14:paraId="57D60430"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Oct – Dec 2024</w:t>
            </w:r>
          </w:p>
        </w:tc>
      </w:tr>
      <w:tr w:rsidR="00F4660B" w:rsidRPr="00F4660B" w14:paraId="5DEDE584" w14:textId="77777777" w:rsidTr="0008057D">
        <w:trPr>
          <w:trHeight w:val="20"/>
        </w:trPr>
        <w:tc>
          <w:tcPr>
            <w:tcW w:w="6658" w:type="dxa"/>
            <w:noWrap/>
          </w:tcPr>
          <w:p w14:paraId="61F57652"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Launching a dedicated site at the Central Bank of Kenya to facilitate reporting</w:t>
            </w:r>
          </w:p>
        </w:tc>
        <w:tc>
          <w:tcPr>
            <w:tcW w:w="2693" w:type="dxa"/>
            <w:noWrap/>
          </w:tcPr>
          <w:p w14:paraId="20C919C2"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37054EF5" w14:textId="77777777" w:rsidTr="0008057D">
        <w:trPr>
          <w:trHeight w:val="20"/>
        </w:trPr>
        <w:tc>
          <w:tcPr>
            <w:tcW w:w="6658" w:type="dxa"/>
            <w:noWrap/>
            <w:hideMark/>
          </w:tcPr>
          <w:p w14:paraId="0A8AE215"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Issuance of Enhanced Climate Disclosure Framework</w:t>
            </w:r>
          </w:p>
        </w:tc>
        <w:tc>
          <w:tcPr>
            <w:tcW w:w="2693" w:type="dxa"/>
            <w:noWrap/>
            <w:hideMark/>
          </w:tcPr>
          <w:p w14:paraId="0D0FED0A"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15257FDB" w14:textId="77777777" w:rsidTr="0008057D">
        <w:trPr>
          <w:trHeight w:val="20"/>
        </w:trPr>
        <w:tc>
          <w:tcPr>
            <w:tcW w:w="6658" w:type="dxa"/>
            <w:noWrap/>
            <w:hideMark/>
          </w:tcPr>
          <w:p w14:paraId="61B2DAED"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Beginning of annual voluntary reporting</w:t>
            </w:r>
          </w:p>
        </w:tc>
        <w:tc>
          <w:tcPr>
            <w:tcW w:w="2693" w:type="dxa"/>
            <w:noWrap/>
            <w:hideMark/>
          </w:tcPr>
          <w:p w14:paraId="2585B2B5"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78CEBCD9" w14:textId="77777777" w:rsidTr="0008057D">
        <w:trPr>
          <w:trHeight w:val="20"/>
        </w:trPr>
        <w:tc>
          <w:tcPr>
            <w:tcW w:w="6658" w:type="dxa"/>
            <w:noWrap/>
            <w:hideMark/>
          </w:tcPr>
          <w:p w14:paraId="5AA6AD94"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1 Peer Group</w:t>
            </w:r>
          </w:p>
        </w:tc>
        <w:tc>
          <w:tcPr>
            <w:tcW w:w="2693" w:type="dxa"/>
            <w:noWrap/>
            <w:hideMark/>
          </w:tcPr>
          <w:p w14:paraId="475DE95F"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Jun 2025</w:t>
            </w:r>
          </w:p>
        </w:tc>
      </w:tr>
      <w:tr w:rsidR="00F4660B" w:rsidRPr="00F4660B" w14:paraId="19B9786A" w14:textId="77777777" w:rsidTr="0008057D">
        <w:trPr>
          <w:trHeight w:val="20"/>
        </w:trPr>
        <w:tc>
          <w:tcPr>
            <w:tcW w:w="6658" w:type="dxa"/>
            <w:noWrap/>
            <w:hideMark/>
          </w:tcPr>
          <w:p w14:paraId="2E2FBAC8"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2 Peer Group</w:t>
            </w:r>
          </w:p>
        </w:tc>
        <w:tc>
          <w:tcPr>
            <w:tcW w:w="2693" w:type="dxa"/>
            <w:noWrap/>
            <w:hideMark/>
          </w:tcPr>
          <w:p w14:paraId="781D5E59"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Dec 2025</w:t>
            </w:r>
          </w:p>
        </w:tc>
      </w:tr>
      <w:tr w:rsidR="00F4660B" w:rsidRPr="00F4660B" w14:paraId="1B9D7720" w14:textId="77777777" w:rsidTr="0008057D">
        <w:trPr>
          <w:trHeight w:val="20"/>
        </w:trPr>
        <w:tc>
          <w:tcPr>
            <w:tcW w:w="6658" w:type="dxa"/>
            <w:noWrap/>
            <w:hideMark/>
          </w:tcPr>
          <w:p w14:paraId="7B4D4C8D"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3 Peer Group</w:t>
            </w:r>
          </w:p>
        </w:tc>
        <w:tc>
          <w:tcPr>
            <w:tcW w:w="2693" w:type="dxa"/>
            <w:noWrap/>
            <w:hideMark/>
          </w:tcPr>
          <w:p w14:paraId="5F7EB974"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Jun 2026</w:t>
            </w:r>
          </w:p>
        </w:tc>
      </w:tr>
      <w:tr w:rsidR="00F4660B" w:rsidRPr="00F4660B" w14:paraId="51D73922" w14:textId="77777777" w:rsidTr="0008057D">
        <w:trPr>
          <w:trHeight w:val="20"/>
        </w:trPr>
        <w:tc>
          <w:tcPr>
            <w:tcW w:w="6658" w:type="dxa"/>
            <w:noWrap/>
            <w:hideMark/>
          </w:tcPr>
          <w:p w14:paraId="02EFD441"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Mandatory annual reporting to Central Bank of Kenya in line with the Framework</w:t>
            </w:r>
          </w:p>
        </w:tc>
        <w:tc>
          <w:tcPr>
            <w:tcW w:w="2693" w:type="dxa"/>
            <w:noWrap/>
            <w:hideMark/>
          </w:tcPr>
          <w:p w14:paraId="45AE7BFB" w14:textId="52B9ED30"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w:t>
            </w:r>
            <w:r w:rsidR="008B2877">
              <w:rPr>
                <w:rFonts w:ascii="Calibri" w:hAnsi="Calibri" w:cs="Calibri"/>
                <w:color w:val="000000"/>
                <w:sz w:val="24"/>
                <w:szCs w:val="24"/>
              </w:rPr>
              <w:t xml:space="preserve">an </w:t>
            </w:r>
            <w:r w:rsidRPr="00167446">
              <w:rPr>
                <w:rFonts w:ascii="Calibri" w:hAnsi="Calibri" w:cs="Calibri"/>
                <w:color w:val="000000"/>
                <w:sz w:val="24"/>
                <w:szCs w:val="24"/>
              </w:rPr>
              <w:t>202</w:t>
            </w:r>
            <w:r w:rsidR="008B2877">
              <w:rPr>
                <w:rFonts w:ascii="Calibri" w:hAnsi="Calibri" w:cs="Calibri"/>
                <w:color w:val="000000"/>
                <w:sz w:val="24"/>
                <w:szCs w:val="24"/>
              </w:rPr>
              <w:t>7</w:t>
            </w:r>
          </w:p>
        </w:tc>
      </w:tr>
    </w:tbl>
    <w:p w14:paraId="2CB6AD88" w14:textId="671B6366" w:rsidR="00CB4FD6" w:rsidRDefault="00CB4FD6">
      <w:pPr>
        <w:rPr>
          <w:rFonts w:ascii="Calibri" w:hAnsi="Calibri" w:cs="Calibri"/>
          <w:lang w:val="en-GB"/>
        </w:rPr>
      </w:pPr>
      <w:r>
        <w:rPr>
          <w:rFonts w:ascii="Calibri" w:hAnsi="Calibri" w:cs="Calibri"/>
          <w:lang w:val="en-GB"/>
        </w:rPr>
        <w:br w:type="page"/>
      </w:r>
    </w:p>
    <w:p w14:paraId="115720D3" w14:textId="525BC9E1" w:rsidR="00A053B4" w:rsidRDefault="00A053B4" w:rsidP="00CB4FD6">
      <w:pPr>
        <w:pStyle w:val="Heading2"/>
        <w:rPr>
          <w:lang w:val="en-GB"/>
        </w:rPr>
      </w:pPr>
      <w:bookmarkStart w:id="101" w:name="_Toc171908194"/>
      <w:r>
        <w:rPr>
          <w:lang w:val="en-GB"/>
        </w:rPr>
        <w:lastRenderedPageBreak/>
        <w:t>Bibliography</w:t>
      </w:r>
      <w:bookmarkEnd w:id="101"/>
    </w:p>
    <w:p w14:paraId="16A80432" w14:textId="77777777" w:rsidR="00420D39" w:rsidRDefault="00420D39" w:rsidP="00616282">
      <w:pPr>
        <w:jc w:val="both"/>
        <w:rPr>
          <w:rFonts w:ascii="Calibri" w:hAnsi="Calibri" w:cs="Calibri"/>
          <w:lang w:val="en-GB"/>
        </w:rPr>
      </w:pPr>
    </w:p>
    <w:p w14:paraId="3546B068" w14:textId="0A24E279"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Central Bank of Kenya. (2021). </w:t>
      </w:r>
      <w:r w:rsidRPr="00477AAD">
        <w:rPr>
          <w:rFonts w:asciiTheme="minorHAnsi" w:eastAsiaTheme="minorHAnsi" w:hAnsiTheme="minorHAnsi" w:cstheme="minorBidi"/>
          <w:i/>
          <w:iCs/>
          <w:kern w:val="2"/>
          <w:lang w:val="en-GB" w:eastAsia="en-US"/>
          <w14:ligatures w14:val="standardContextual"/>
        </w:rPr>
        <w:t>Guidance on climate-related risk management</w:t>
      </w:r>
      <w:r w:rsidRPr="00477AAD">
        <w:rPr>
          <w:rFonts w:asciiTheme="minorHAnsi" w:eastAsiaTheme="minorHAnsi" w:hAnsiTheme="minorHAnsi" w:cstheme="minorBidi"/>
          <w:kern w:val="2"/>
          <w:lang w:val="en-GB" w:eastAsia="en-US"/>
          <w14:ligatures w14:val="standardContextual"/>
        </w:rPr>
        <w:t xml:space="preserve">. Retrieved from </w:t>
      </w:r>
      <w:hyperlink r:id="rId45" w:history="1">
        <w:r w:rsidRPr="00477AAD">
          <w:rPr>
            <w:rStyle w:val="Hyperlink"/>
            <w:rFonts w:asciiTheme="minorHAnsi" w:eastAsiaTheme="minorHAnsi" w:hAnsiTheme="minorHAnsi" w:cstheme="minorBidi"/>
            <w:kern w:val="2"/>
            <w:lang w:val="en-GB" w:eastAsia="en-US"/>
            <w14:ligatures w14:val="standardContextual"/>
          </w:rPr>
          <w:t>https://www.centralbank.go.ke</w:t>
        </w:r>
      </w:hyperlink>
      <w:r w:rsidRPr="00477AAD">
        <w:rPr>
          <w:rFonts w:asciiTheme="minorHAnsi" w:eastAsiaTheme="minorHAnsi" w:hAnsiTheme="minorHAnsi" w:cstheme="minorBidi"/>
          <w:kern w:val="2"/>
          <w:lang w:val="en-GB" w:eastAsia="en-US"/>
          <w14:ligatures w14:val="standardContextual"/>
        </w:rPr>
        <w:t xml:space="preserve"> </w:t>
      </w:r>
    </w:p>
    <w:p w14:paraId="3B8EEF8D" w14:textId="77777777" w:rsidR="00477AAD" w:rsidRPr="00477AAD" w:rsidRDefault="00477AAD" w:rsidP="00477AAD">
      <w:pPr>
        <w:spacing w:after="160" w:line="259" w:lineRule="auto"/>
        <w:ind w:left="720"/>
        <w:contextualSpacing/>
        <w:rPr>
          <w:rFonts w:asciiTheme="minorHAnsi" w:eastAsiaTheme="minorHAnsi" w:hAnsiTheme="minorHAnsi" w:cstheme="minorBidi"/>
          <w:kern w:val="2"/>
          <w:lang w:val="en-GB" w:eastAsia="en-US"/>
          <w14:ligatures w14:val="standardContextual"/>
        </w:rPr>
      </w:pPr>
    </w:p>
    <w:p w14:paraId="73EA5354" w14:textId="51483DF1"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CFRF. (2021). </w:t>
      </w:r>
      <w:r w:rsidRPr="00477AAD">
        <w:rPr>
          <w:rFonts w:asciiTheme="minorHAnsi" w:eastAsiaTheme="minorHAnsi" w:hAnsiTheme="minorHAnsi" w:cstheme="minorBidi"/>
          <w:i/>
          <w:iCs/>
          <w:kern w:val="2"/>
          <w:lang w:val="en-GB" w:eastAsia="en-US"/>
          <w14:ligatures w14:val="standardContextual"/>
        </w:rPr>
        <w:t>Climate risk appetite statements</w:t>
      </w:r>
      <w:r w:rsidRPr="00477AAD">
        <w:rPr>
          <w:rFonts w:asciiTheme="minorHAnsi" w:eastAsiaTheme="minorHAnsi" w:hAnsiTheme="minorHAnsi" w:cstheme="minorBidi"/>
          <w:kern w:val="2"/>
          <w:lang w:val="en-GB" w:eastAsia="en-US"/>
          <w14:ligatures w14:val="standardContextual"/>
        </w:rPr>
        <w:t xml:space="preserve">. Retrieved from </w:t>
      </w:r>
      <w:hyperlink r:id="rId46" w:history="1">
        <w:r w:rsidRPr="00477AAD">
          <w:rPr>
            <w:rStyle w:val="Hyperlink"/>
            <w:rFonts w:asciiTheme="minorHAnsi" w:eastAsiaTheme="minorHAnsi" w:hAnsiTheme="minorHAnsi" w:cstheme="minorBidi"/>
            <w:kern w:val="2"/>
            <w:lang w:val="en-GB" w:eastAsia="en-US"/>
            <w14:ligatures w14:val="standardContextual"/>
          </w:rPr>
          <w:t>https://www.bankofengland.co.uk/climate-change</w:t>
        </w:r>
      </w:hyperlink>
      <w:r w:rsidRPr="00477AAD">
        <w:rPr>
          <w:rFonts w:asciiTheme="minorHAnsi" w:eastAsiaTheme="minorHAnsi" w:hAnsiTheme="minorHAnsi" w:cstheme="minorBidi"/>
          <w:kern w:val="2"/>
          <w:lang w:val="en-GB" w:eastAsia="en-US"/>
          <w14:ligatures w14:val="standardContextual"/>
        </w:rPr>
        <w:t xml:space="preserve"> </w:t>
      </w:r>
    </w:p>
    <w:p w14:paraId="02ABDA9A"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7F8BBDA4"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European Banking Authority. (2022). </w:t>
      </w:r>
      <w:r w:rsidRPr="00477AAD">
        <w:rPr>
          <w:rFonts w:asciiTheme="minorHAnsi" w:eastAsiaTheme="minorHAnsi" w:hAnsiTheme="minorHAnsi" w:cstheme="minorBidi"/>
          <w:i/>
          <w:iCs/>
          <w:kern w:val="2"/>
          <w:lang w:val="en-GB" w:eastAsia="en-US"/>
          <w14:ligatures w14:val="standardContextual"/>
        </w:rPr>
        <w:t>Final report draft implementing technical standards (ITS) on prudential disclosures on ESG</w:t>
      </w:r>
      <w:r w:rsidRPr="00477AAD">
        <w:rPr>
          <w:rFonts w:asciiTheme="minorHAnsi" w:eastAsiaTheme="minorHAnsi" w:hAnsiTheme="minorHAnsi" w:cstheme="minorBidi"/>
          <w:kern w:val="2"/>
          <w:lang w:val="en-GB" w:eastAsia="en-US"/>
          <w14:ligatures w14:val="standardContextual"/>
        </w:rPr>
        <w:t xml:space="preserve">. Retrieved from </w:t>
      </w:r>
      <w:hyperlink r:id="rId47"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https://www.eba.europa.eu</w:t>
        </w:r>
      </w:hyperlink>
    </w:p>
    <w:p w14:paraId="2377D72B"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2EF72DCC"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European Central Bank (ECB). (2022). </w:t>
      </w:r>
      <w:r w:rsidRPr="00477AAD">
        <w:rPr>
          <w:rFonts w:asciiTheme="minorHAnsi" w:eastAsiaTheme="minorHAnsi" w:hAnsiTheme="minorHAnsi" w:cstheme="minorBidi"/>
          <w:i/>
          <w:iCs/>
          <w:kern w:val="2"/>
          <w:lang w:val="en-GB" w:eastAsia="en-US"/>
          <w14:ligatures w14:val="standardContextual"/>
        </w:rPr>
        <w:t>Good practices for climate-related and environmental risk management</w:t>
      </w:r>
      <w:r w:rsidRPr="00477AAD">
        <w:rPr>
          <w:rFonts w:asciiTheme="minorHAnsi" w:eastAsiaTheme="minorHAnsi" w:hAnsiTheme="minorHAnsi" w:cstheme="minorBidi"/>
          <w:kern w:val="2"/>
          <w:lang w:val="en-GB" w:eastAsia="en-US"/>
          <w14:ligatures w14:val="standardContextual"/>
        </w:rPr>
        <w:t xml:space="preserve">. Retrieved from </w:t>
      </w:r>
      <w:hyperlink r:id="rId48"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https://www.ecb.europa.eu</w:t>
        </w:r>
      </w:hyperlink>
    </w:p>
    <w:p w14:paraId="3B9F2243"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5BA4B044"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GFANZ. (2023). </w:t>
      </w:r>
      <w:r w:rsidRPr="00477AAD">
        <w:rPr>
          <w:rFonts w:asciiTheme="minorHAnsi" w:eastAsiaTheme="minorHAnsi" w:hAnsiTheme="minorHAnsi" w:cstheme="minorBidi"/>
          <w:i/>
          <w:iCs/>
          <w:kern w:val="2"/>
          <w:lang w:val="en-GB" w:eastAsia="en-US"/>
          <w14:ligatures w14:val="standardContextual"/>
        </w:rPr>
        <w:t>Recommendations and guidance on financial institution net-zero transition plans</w:t>
      </w:r>
      <w:r w:rsidRPr="00477AAD">
        <w:rPr>
          <w:rFonts w:asciiTheme="minorHAnsi" w:eastAsiaTheme="minorHAnsi" w:hAnsiTheme="minorHAnsi" w:cstheme="minorBidi"/>
          <w:kern w:val="2"/>
          <w:lang w:val="en-GB" w:eastAsia="en-US"/>
          <w14:ligatures w14:val="standardContextual"/>
        </w:rPr>
        <w:t xml:space="preserve">. Retrieved from </w:t>
      </w:r>
      <w:hyperlink r:id="rId49"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https://www.gfanz.org</w:t>
        </w:r>
      </w:hyperlink>
    </w:p>
    <w:p w14:paraId="5C03A7AE"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580B13A4" w14:textId="05B34CE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Barclays. (2022). </w:t>
      </w:r>
      <w:r w:rsidRPr="00477AAD">
        <w:rPr>
          <w:rFonts w:asciiTheme="minorHAnsi" w:eastAsiaTheme="minorHAnsi" w:hAnsiTheme="minorHAnsi" w:cstheme="minorBidi"/>
          <w:i/>
          <w:iCs/>
          <w:kern w:val="2"/>
          <w:lang w:val="en-GB" w:eastAsia="en-US"/>
          <w14:ligatures w14:val="standardContextual"/>
        </w:rPr>
        <w:t>Climate strategy, targets and progress</w:t>
      </w:r>
      <w:r w:rsidRPr="00477AAD">
        <w:rPr>
          <w:rFonts w:asciiTheme="minorHAnsi" w:eastAsiaTheme="minorHAnsi" w:hAnsiTheme="minorHAnsi" w:cstheme="minorBidi"/>
          <w:kern w:val="2"/>
          <w:lang w:val="en-GB" w:eastAsia="en-US"/>
          <w14:ligatures w14:val="standardContextual"/>
        </w:rPr>
        <w:t xml:space="preserve">. Retrieved from </w:t>
      </w:r>
      <w:hyperlink r:id="rId50" w:history="1">
        <w:r w:rsidRPr="00477AAD">
          <w:rPr>
            <w:rStyle w:val="Hyperlink"/>
            <w:rFonts w:asciiTheme="minorHAnsi" w:eastAsiaTheme="minorHAnsi" w:hAnsiTheme="minorHAnsi" w:cstheme="minorBidi"/>
            <w:kern w:val="2"/>
            <w:lang w:val="en-GB" w:eastAsia="en-US"/>
            <w14:ligatures w14:val="standardContextual"/>
          </w:rPr>
          <w:t>https://home.barclays/sustainability</w:t>
        </w:r>
      </w:hyperlink>
    </w:p>
    <w:p w14:paraId="4A99EBBF"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3BFD6CD8"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BBVA. (2022). </w:t>
      </w:r>
      <w:r w:rsidRPr="00477AAD">
        <w:rPr>
          <w:rFonts w:asciiTheme="minorHAnsi" w:eastAsiaTheme="minorHAnsi" w:hAnsiTheme="minorHAnsi" w:cstheme="minorBidi"/>
          <w:i/>
          <w:iCs/>
          <w:kern w:val="2"/>
          <w:lang w:val="en-GB" w:eastAsia="en-US"/>
          <w14:ligatures w14:val="standardContextual"/>
        </w:rPr>
        <w:t>TCFD report</w:t>
      </w:r>
      <w:r w:rsidRPr="00477AAD">
        <w:rPr>
          <w:rFonts w:asciiTheme="minorHAnsi" w:eastAsiaTheme="minorHAnsi" w:hAnsiTheme="minorHAnsi" w:cstheme="minorBidi"/>
          <w:kern w:val="2"/>
          <w:lang w:val="en-GB" w:eastAsia="en-US"/>
          <w14:ligatures w14:val="standardContextual"/>
        </w:rPr>
        <w:t xml:space="preserve">. Retrieved from </w:t>
      </w:r>
      <w:hyperlink r:id="rId51"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https://www.bbva.com</w:t>
        </w:r>
      </w:hyperlink>
    </w:p>
    <w:p w14:paraId="769E2DA3"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04457463"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BNP Paribas. (2022). </w:t>
      </w:r>
      <w:r w:rsidRPr="00477AAD">
        <w:rPr>
          <w:rFonts w:asciiTheme="minorHAnsi" w:eastAsiaTheme="minorHAnsi" w:hAnsiTheme="minorHAnsi" w:cstheme="minorBidi"/>
          <w:i/>
          <w:iCs/>
          <w:kern w:val="2"/>
          <w:lang w:val="en-GB" w:eastAsia="en-US"/>
          <w14:ligatures w14:val="standardContextual"/>
        </w:rPr>
        <w:t>Climate report</w:t>
      </w:r>
      <w:r w:rsidRPr="00477AAD">
        <w:rPr>
          <w:rFonts w:asciiTheme="minorHAnsi" w:eastAsiaTheme="minorHAnsi" w:hAnsiTheme="minorHAnsi" w:cstheme="minorBidi"/>
          <w:kern w:val="2"/>
          <w:lang w:val="en-GB" w:eastAsia="en-US"/>
          <w14:ligatures w14:val="standardContextual"/>
        </w:rPr>
        <w:t xml:space="preserve">. Retrieved from </w:t>
      </w:r>
      <w:hyperlink r:id="rId52"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https://group.bnpparibas</w:t>
        </w:r>
      </w:hyperlink>
    </w:p>
    <w:p w14:paraId="71CEDA59"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778EAC3D"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Citi. (2022). </w:t>
      </w:r>
      <w:r w:rsidRPr="00477AAD">
        <w:rPr>
          <w:rFonts w:asciiTheme="minorHAnsi" w:eastAsiaTheme="minorHAnsi" w:hAnsiTheme="minorHAnsi" w:cstheme="minorBidi"/>
          <w:i/>
          <w:iCs/>
          <w:kern w:val="2"/>
          <w:lang w:val="en-GB" w:eastAsia="en-US"/>
          <w14:ligatures w14:val="standardContextual"/>
        </w:rPr>
        <w:t>TCFD report</w:t>
      </w:r>
      <w:r w:rsidRPr="00477AAD">
        <w:rPr>
          <w:rFonts w:asciiTheme="minorHAnsi" w:eastAsiaTheme="minorHAnsi" w:hAnsiTheme="minorHAnsi" w:cstheme="minorBidi"/>
          <w:kern w:val="2"/>
          <w:lang w:val="en-GB" w:eastAsia="en-US"/>
          <w14:ligatures w14:val="standardContextual"/>
        </w:rPr>
        <w:t xml:space="preserve">. Retrieved from </w:t>
      </w:r>
      <w:hyperlink r:id="rId53"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https://www.citigroup.com</w:t>
        </w:r>
      </w:hyperlink>
    </w:p>
    <w:p w14:paraId="13565297" w14:textId="77777777" w:rsidR="00477AAD" w:rsidRPr="00477AAD" w:rsidRDefault="00477AAD" w:rsidP="00477AAD">
      <w:pPr>
        <w:spacing w:after="160" w:line="259" w:lineRule="auto"/>
        <w:contextualSpacing/>
        <w:rPr>
          <w:rFonts w:asciiTheme="minorHAnsi" w:eastAsiaTheme="minorHAnsi" w:hAnsiTheme="minorHAnsi" w:cstheme="minorBidi"/>
          <w:kern w:val="2"/>
          <w:lang w:val="en-GB" w:eastAsia="en-US"/>
          <w14:ligatures w14:val="standardContextual"/>
        </w:rPr>
      </w:pPr>
    </w:p>
    <w:p w14:paraId="37729BCB"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ING. (2021). </w:t>
      </w:r>
      <w:r w:rsidRPr="00477AAD">
        <w:rPr>
          <w:rFonts w:asciiTheme="minorHAnsi" w:eastAsiaTheme="minorHAnsi" w:hAnsiTheme="minorHAnsi" w:cstheme="minorBidi"/>
          <w:i/>
          <w:iCs/>
          <w:kern w:val="2"/>
          <w:lang w:val="en-GB" w:eastAsia="en-US"/>
          <w14:ligatures w14:val="standardContextual"/>
        </w:rPr>
        <w:t>Climate report</w:t>
      </w:r>
      <w:r w:rsidRPr="00477AAD">
        <w:rPr>
          <w:rFonts w:asciiTheme="minorHAnsi" w:eastAsiaTheme="minorHAnsi" w:hAnsiTheme="minorHAnsi" w:cstheme="minorBidi"/>
          <w:kern w:val="2"/>
          <w:lang w:val="en-GB" w:eastAsia="en-US"/>
          <w14:ligatures w14:val="standardContextual"/>
        </w:rPr>
        <w:t xml:space="preserve">. Retrieved from </w:t>
      </w:r>
      <w:hyperlink r:id="rId54"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https://www.ing.com</w:t>
        </w:r>
      </w:hyperlink>
    </w:p>
    <w:p w14:paraId="503B291D" w14:textId="77777777" w:rsidR="00477AAD" w:rsidRPr="00477AAD" w:rsidRDefault="00477AAD" w:rsidP="00477AAD">
      <w:pPr>
        <w:spacing w:after="160" w:line="259" w:lineRule="auto"/>
        <w:ind w:left="720"/>
        <w:contextualSpacing/>
        <w:rPr>
          <w:rFonts w:asciiTheme="minorHAnsi" w:eastAsiaTheme="minorHAnsi" w:hAnsiTheme="minorHAnsi" w:cstheme="minorBidi"/>
          <w:kern w:val="2"/>
          <w:lang w:val="en-GB" w:eastAsia="en-US"/>
          <w14:ligatures w14:val="standardContextual"/>
        </w:rPr>
      </w:pPr>
    </w:p>
    <w:p w14:paraId="42CF897F"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TD Bank. (2022). </w:t>
      </w:r>
      <w:r w:rsidRPr="00477AAD">
        <w:rPr>
          <w:rFonts w:asciiTheme="minorHAnsi" w:eastAsiaTheme="minorHAnsi" w:hAnsiTheme="minorHAnsi" w:cstheme="minorBidi"/>
          <w:i/>
          <w:iCs/>
          <w:kern w:val="2"/>
          <w:lang w:val="en-GB" w:eastAsia="en-US"/>
          <w14:ligatures w14:val="standardContextual"/>
        </w:rPr>
        <w:t>Climate action report</w:t>
      </w:r>
      <w:r w:rsidRPr="00477AAD">
        <w:rPr>
          <w:rFonts w:asciiTheme="minorHAnsi" w:eastAsiaTheme="minorHAnsi" w:hAnsiTheme="minorHAnsi" w:cstheme="minorBidi"/>
          <w:kern w:val="2"/>
          <w:lang w:val="en-GB" w:eastAsia="en-US"/>
          <w14:ligatures w14:val="standardContextual"/>
        </w:rPr>
        <w:t xml:space="preserve">. Retrieved from </w:t>
      </w:r>
      <w:hyperlink r:id="rId55"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https://www.td.com</w:t>
        </w:r>
      </w:hyperlink>
    </w:p>
    <w:p w14:paraId="18A08E28"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2EDAA34E"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proofErr w:type="spellStart"/>
      <w:r w:rsidRPr="00477AAD">
        <w:rPr>
          <w:rFonts w:asciiTheme="minorHAnsi" w:eastAsiaTheme="minorHAnsi" w:hAnsiTheme="minorHAnsi" w:cstheme="minorBidi"/>
          <w:kern w:val="2"/>
          <w:lang w:val="en-GB" w:eastAsia="en-US"/>
          <w14:ligatures w14:val="standardContextual"/>
        </w:rPr>
        <w:t>Natwest</w:t>
      </w:r>
      <w:proofErr w:type="spellEnd"/>
      <w:r w:rsidRPr="00477AAD">
        <w:rPr>
          <w:rFonts w:asciiTheme="minorHAnsi" w:eastAsiaTheme="minorHAnsi" w:hAnsiTheme="minorHAnsi" w:cstheme="minorBidi"/>
          <w:kern w:val="2"/>
          <w:lang w:val="en-GB" w:eastAsia="en-US"/>
          <w14:ligatures w14:val="standardContextual"/>
        </w:rPr>
        <w:t xml:space="preserve">. (2022). </w:t>
      </w:r>
      <w:r w:rsidRPr="00477AAD">
        <w:rPr>
          <w:rFonts w:asciiTheme="minorHAnsi" w:eastAsiaTheme="minorHAnsi" w:hAnsiTheme="minorHAnsi" w:cstheme="minorBidi"/>
          <w:i/>
          <w:iCs/>
          <w:kern w:val="2"/>
          <w:lang w:val="en-GB" w:eastAsia="en-US"/>
          <w14:ligatures w14:val="standardContextual"/>
        </w:rPr>
        <w:t>Climate-related disclosures report</w:t>
      </w:r>
      <w:r w:rsidRPr="00477AAD">
        <w:rPr>
          <w:rFonts w:asciiTheme="minorHAnsi" w:eastAsiaTheme="minorHAnsi" w:hAnsiTheme="minorHAnsi" w:cstheme="minorBidi"/>
          <w:kern w:val="2"/>
          <w:lang w:val="en-GB" w:eastAsia="en-US"/>
          <w14:ligatures w14:val="standardContextual"/>
        </w:rPr>
        <w:t xml:space="preserve">. Retrieved from </w:t>
      </w:r>
      <w:hyperlink r:id="rId56"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https://www.natwestgroup.com</w:t>
        </w:r>
      </w:hyperlink>
    </w:p>
    <w:p w14:paraId="07321186" w14:textId="77777777" w:rsidR="00477AAD" w:rsidRPr="00477AAD" w:rsidRDefault="00477AAD" w:rsidP="00477AAD">
      <w:pPr>
        <w:spacing w:after="160" w:line="259" w:lineRule="auto"/>
        <w:contextualSpacing/>
        <w:rPr>
          <w:rFonts w:asciiTheme="minorHAnsi" w:eastAsiaTheme="minorHAnsi" w:hAnsiTheme="minorHAnsi" w:cstheme="minorBidi"/>
          <w:kern w:val="2"/>
          <w:lang w:val="en-GB" w:eastAsia="en-US"/>
          <w14:ligatures w14:val="standardContextual"/>
        </w:rPr>
      </w:pPr>
    </w:p>
    <w:p w14:paraId="14B7BCD5"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Network for Greening the Financial System (NGFS). (2020). </w:t>
      </w:r>
      <w:r w:rsidRPr="00477AAD">
        <w:rPr>
          <w:rFonts w:asciiTheme="minorHAnsi" w:eastAsiaTheme="minorHAnsi" w:hAnsiTheme="minorHAnsi" w:cstheme="minorBidi"/>
          <w:i/>
          <w:iCs/>
          <w:kern w:val="2"/>
          <w:lang w:val="en-GB" w:eastAsia="en-US"/>
          <w14:ligatures w14:val="standardContextual"/>
        </w:rPr>
        <w:t>Overview of environmental risk analysis by FIs</w:t>
      </w:r>
      <w:r w:rsidRPr="00477AAD">
        <w:rPr>
          <w:rFonts w:asciiTheme="minorHAnsi" w:eastAsiaTheme="minorHAnsi" w:hAnsiTheme="minorHAnsi" w:cstheme="minorBidi"/>
          <w:kern w:val="2"/>
          <w:lang w:val="en-GB" w:eastAsia="en-US"/>
          <w14:ligatures w14:val="standardContextual"/>
        </w:rPr>
        <w:t xml:space="preserve">. Retrieved from </w:t>
      </w:r>
      <w:hyperlink r:id="rId57"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https://www.ngfs.net</w:t>
        </w:r>
      </w:hyperlink>
    </w:p>
    <w:p w14:paraId="76739CE6"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67D3F485" w14:textId="77777777" w:rsidR="00477AAD" w:rsidRP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Partnership for Carbon Accounting Financials. (2022). </w:t>
      </w:r>
      <w:r w:rsidRPr="00477AAD">
        <w:rPr>
          <w:rFonts w:asciiTheme="minorHAnsi" w:eastAsiaTheme="minorHAnsi" w:hAnsiTheme="minorHAnsi" w:cstheme="minorBidi"/>
          <w:i/>
          <w:iCs/>
          <w:kern w:val="2"/>
          <w:lang w:val="en-GB" w:eastAsia="en-US"/>
          <w14:ligatures w14:val="standardContextual"/>
        </w:rPr>
        <w:t>Global GHG accounting and reporting standard for the financial industry</w:t>
      </w:r>
      <w:r w:rsidRPr="00477AAD">
        <w:rPr>
          <w:rFonts w:asciiTheme="minorHAnsi" w:eastAsiaTheme="minorHAnsi" w:hAnsiTheme="minorHAnsi" w:cstheme="minorBidi"/>
          <w:kern w:val="2"/>
          <w:lang w:val="en-GB" w:eastAsia="en-US"/>
          <w14:ligatures w14:val="standardContextual"/>
        </w:rPr>
        <w:t xml:space="preserve">. Retrieved from </w:t>
      </w:r>
      <w:hyperlink r:id="rId58"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https://www.carbonaccountingfinancials.com</w:t>
        </w:r>
      </w:hyperlink>
    </w:p>
    <w:p w14:paraId="299F52C9" w14:textId="6ED9D17E" w:rsidR="00CB4FD6" w:rsidRPr="00167446" w:rsidRDefault="00CB4FD6" w:rsidP="00477AAD">
      <w:pPr>
        <w:pStyle w:val="ListParagraph"/>
        <w:jc w:val="both"/>
        <w:rPr>
          <w:rFonts w:ascii="Calibri" w:hAnsi="Calibri" w:cs="Calibri"/>
          <w:sz w:val="20"/>
          <w:szCs w:val="20"/>
        </w:rPr>
      </w:pPr>
    </w:p>
    <w:sectPr w:rsidR="00CB4FD6" w:rsidRPr="00167446" w:rsidSect="008B2877">
      <w:headerReference w:type="even" r:id="rId59"/>
      <w:headerReference w:type="default" r:id="rId60"/>
      <w:footerReference w:type="even" r:id="rId61"/>
      <w:footerReference w:type="default" r:id="rId62"/>
      <w:headerReference w:type="first" r:id="rId63"/>
      <w:footerReference w:type="first" r:id="rId64"/>
      <w:pgSz w:w="11906" w:h="16838"/>
      <w:pgMar w:top="1293" w:right="1133"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1A5345" w14:textId="77777777" w:rsidR="0044575E" w:rsidRDefault="0044575E" w:rsidP="002B5AF7">
      <w:r>
        <w:separator/>
      </w:r>
    </w:p>
  </w:endnote>
  <w:endnote w:type="continuationSeparator" w:id="0">
    <w:p w14:paraId="38FB1F6C" w14:textId="77777777" w:rsidR="0044575E" w:rsidRDefault="0044575E" w:rsidP="002B5AF7">
      <w:r>
        <w:continuationSeparator/>
      </w:r>
    </w:p>
  </w:endnote>
  <w:endnote w:type="continuationNotice" w:id="1">
    <w:p w14:paraId="072010AA" w14:textId="77777777" w:rsidR="0044575E" w:rsidRDefault="004457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ource Sans Pro">
    <w:charset w:val="00"/>
    <w:family w:val="swiss"/>
    <w:pitch w:val="variable"/>
    <w:sig w:usb0="600002F7" w:usb1="02000001" w:usb2="00000000"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2866B6" w14:textId="10AF0B97" w:rsidR="004725EE" w:rsidRDefault="009B6886" w:rsidP="006D2FA9">
    <w:pPr>
      <w:pStyle w:val="Footer"/>
      <w:framePr w:wrap="none" w:vAnchor="text" w:hAnchor="margin" w:xAlign="center" w:y="1"/>
      <w:rPr>
        <w:rStyle w:val="PageNumber"/>
      </w:rPr>
    </w:pPr>
    <w:r>
      <w:rPr>
        <w:noProof/>
        <w14:ligatures w14:val="standardContextual"/>
      </w:rPr>
      <mc:AlternateContent>
        <mc:Choice Requires="wps">
          <w:drawing>
            <wp:anchor distT="0" distB="0" distL="0" distR="0" simplePos="0" relativeHeight="251658244" behindDoc="0" locked="0" layoutInCell="1" allowOverlap="1" wp14:anchorId="265C63E4" wp14:editId="5066FE0E">
              <wp:simplePos x="635" y="635"/>
              <wp:positionH relativeFrom="column">
                <wp:align>center</wp:align>
              </wp:positionH>
              <wp:positionV relativeFrom="paragraph">
                <wp:posOffset>635</wp:posOffset>
              </wp:positionV>
              <wp:extent cx="443865" cy="443865"/>
              <wp:effectExtent l="0" t="0" r="8890" b="12700"/>
              <wp:wrapSquare wrapText="bothSides"/>
              <wp:docPr id="3" name="Text Box 3"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058113" w14:textId="5D3576A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265C63E4" id="_x0000_t202" coordsize="21600,21600" o:spt="202" path="m,l,21600r21600,l21600,xe">
              <v:stroke joinstyle="miter"/>
              <v:path gradientshapeok="t" o:connecttype="rect"/>
            </v:shapetype>
            <v:shape id="Text Box 3" o:spid="_x0000_s1026" type="#_x0000_t202" alt="C2: CBK - Official" style="position:absolute;margin-left:0;margin-top:.05pt;width:34.95pt;height:34.95pt;z-index:25165824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3B058113" w14:textId="5D3576A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sdt>
    <w:sdtPr>
      <w:rPr>
        <w:rStyle w:val="PageNumber"/>
      </w:rPr>
      <w:id w:val="1570759561"/>
      <w:docPartObj>
        <w:docPartGallery w:val="Page Numbers (Bottom of Page)"/>
        <w:docPartUnique/>
      </w:docPartObj>
    </w:sdtPr>
    <w:sdtContent>
      <w:p w14:paraId="244D0474" w14:textId="77777777" w:rsidR="004725EE" w:rsidRDefault="004725EE" w:rsidP="006D2F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83136C9" w14:textId="77777777" w:rsidR="004725EE" w:rsidRDefault="00472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F013" w14:textId="0C0D58E5" w:rsidR="004725EE" w:rsidRPr="00616282" w:rsidRDefault="00000000" w:rsidP="006D2FA9">
    <w:pPr>
      <w:pStyle w:val="Footer"/>
      <w:framePr w:wrap="none" w:vAnchor="text" w:hAnchor="margin" w:xAlign="center" w:y="1"/>
      <w:rPr>
        <w:rStyle w:val="PageNumber"/>
        <w:rFonts w:ascii="Calibri" w:hAnsi="Calibri" w:cs="Calibri"/>
      </w:rPr>
    </w:pPr>
    <w:sdt>
      <w:sdtPr>
        <w:rPr>
          <w:rStyle w:val="PageNumber"/>
          <w:rFonts w:ascii="Calibri" w:hAnsi="Calibri" w:cs="Calibri"/>
        </w:rPr>
        <w:id w:val="-2096927584"/>
        <w:docPartObj>
          <w:docPartGallery w:val="Page Numbers (Bottom of Page)"/>
          <w:docPartUnique/>
        </w:docPartObj>
      </w:sdtPr>
      <w:sdtContent>
        <w:r w:rsidR="004725EE" w:rsidRPr="00616282">
          <w:rPr>
            <w:rStyle w:val="PageNumber"/>
            <w:rFonts w:ascii="Calibri" w:hAnsi="Calibri" w:cs="Calibri"/>
          </w:rPr>
          <w:fldChar w:fldCharType="begin"/>
        </w:r>
        <w:r w:rsidR="004725EE" w:rsidRPr="00616282">
          <w:rPr>
            <w:rStyle w:val="PageNumber"/>
            <w:rFonts w:ascii="Calibri" w:hAnsi="Calibri" w:cs="Calibri"/>
          </w:rPr>
          <w:instrText xml:space="preserve"> PAGE </w:instrText>
        </w:r>
        <w:r w:rsidR="004725EE" w:rsidRPr="00616282">
          <w:rPr>
            <w:rStyle w:val="PageNumber"/>
            <w:rFonts w:ascii="Calibri" w:hAnsi="Calibri" w:cs="Calibri"/>
          </w:rPr>
          <w:fldChar w:fldCharType="separate"/>
        </w:r>
        <w:r w:rsidR="004725EE" w:rsidRPr="00616282">
          <w:rPr>
            <w:rStyle w:val="PageNumber"/>
            <w:rFonts w:ascii="Calibri" w:hAnsi="Calibri" w:cs="Calibri"/>
            <w:noProof/>
          </w:rPr>
          <w:t>29</w:t>
        </w:r>
        <w:r w:rsidR="004725EE" w:rsidRPr="00616282">
          <w:rPr>
            <w:rStyle w:val="PageNumber"/>
            <w:rFonts w:ascii="Calibri" w:hAnsi="Calibri" w:cs="Calibri"/>
          </w:rPr>
          <w:fldChar w:fldCharType="end"/>
        </w:r>
      </w:sdtContent>
    </w:sdt>
  </w:p>
  <w:p w14:paraId="14D10D7D" w14:textId="771802F5" w:rsidR="004725EE" w:rsidRPr="00616282" w:rsidRDefault="00CB4FD6">
    <w:pPr>
      <w:pStyle w:val="Footer"/>
      <w:rPr>
        <w:rFonts w:ascii="Calibri" w:hAnsi="Calibri" w:cs="Calibri"/>
      </w:rPr>
    </w:pPr>
    <w:r>
      <w:rPr>
        <w:rFonts w:ascii="Calibri" w:hAnsi="Calibri" w:cs="Calibri"/>
        <w:noProof/>
        <w14:ligatures w14:val="standardContextual"/>
      </w:rPr>
      <mc:AlternateContent>
        <mc:Choice Requires="wps">
          <w:drawing>
            <wp:anchor distT="0" distB="0" distL="0" distR="0" simplePos="0" relativeHeight="251658245" behindDoc="0" locked="0" layoutInCell="1" allowOverlap="1" wp14:anchorId="5BA7C12F" wp14:editId="48B410A0">
              <wp:simplePos x="0" y="0"/>
              <wp:positionH relativeFrom="column">
                <wp:posOffset>2534920</wp:posOffset>
              </wp:positionH>
              <wp:positionV relativeFrom="paragraph">
                <wp:posOffset>-207010</wp:posOffset>
              </wp:positionV>
              <wp:extent cx="443865" cy="443865"/>
              <wp:effectExtent l="0" t="0" r="2540" b="0"/>
              <wp:wrapSquare wrapText="bothSides"/>
              <wp:docPr id="5" name="Text Box 5"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C24D0AA" w14:textId="4B65D882"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5BA7C12F" id="_x0000_t202" coordsize="21600,21600" o:spt="202" path="m,l,21600r21600,l21600,xe">
              <v:stroke joinstyle="miter"/>
              <v:path gradientshapeok="t" o:connecttype="rect"/>
            </v:shapetype>
            <v:shape id="Text Box 5" o:spid="_x0000_s1027" type="#_x0000_t202" alt="C2: CBK - Official" style="position:absolute;margin-left:199.6pt;margin-top:-16.3pt;width:34.95pt;height:34.95pt;z-index:251658245;visibility:visible;mso-wrap-style:non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" filled="f" stroked="f">
              <v:textbox style="mso-fit-shape-to-text:t" inset="0,0,0,0">
                <w:txbxContent>
                  <w:p w14:paraId="1C24D0AA" w14:textId="4B65D882"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94C5B7" w14:textId="1D8BCC2B" w:rsidR="00991A46" w:rsidRDefault="009B6886">
    <w:pPr>
      <w:pStyle w:val="Footer"/>
    </w:pPr>
    <w:r>
      <w:rPr>
        <w:noProof/>
        <w14:ligatures w14:val="standardContextual"/>
      </w:rPr>
      <mc:AlternateContent>
        <mc:Choice Requires="wps">
          <w:drawing>
            <wp:anchor distT="0" distB="0" distL="0" distR="0" simplePos="0" relativeHeight="251658243" behindDoc="0" locked="0" layoutInCell="1" allowOverlap="1" wp14:anchorId="172460B8" wp14:editId="68C971AE">
              <wp:simplePos x="635" y="635"/>
              <wp:positionH relativeFrom="column">
                <wp:align>center</wp:align>
              </wp:positionH>
              <wp:positionV relativeFrom="paragraph">
                <wp:posOffset>635</wp:posOffset>
              </wp:positionV>
              <wp:extent cx="443865" cy="443865"/>
              <wp:effectExtent l="0" t="0" r="8890" b="12700"/>
              <wp:wrapSquare wrapText="bothSides"/>
              <wp:docPr id="1" name="Text Box 1"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253EA7" w14:textId="0FE188D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72460B8" id="_x0000_t202" coordsize="21600,21600" o:spt="202" path="m,l,21600r21600,l21600,xe">
              <v:stroke joinstyle="miter"/>
              <v:path gradientshapeok="t" o:connecttype="rect"/>
            </v:shapetype>
            <v:shape id="Text Box 1" o:spid="_x0000_s1028" type="#_x0000_t202" alt="C2: CBK - Official" style="position:absolute;margin-left:0;margin-top:.05pt;width:34.95pt;height:34.95pt;z-index:251658243;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60253EA7" w14:textId="0FE188D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8C9260" w14:textId="77777777" w:rsidR="0044575E" w:rsidRDefault="0044575E" w:rsidP="002B5AF7">
      <w:r>
        <w:separator/>
      </w:r>
    </w:p>
  </w:footnote>
  <w:footnote w:type="continuationSeparator" w:id="0">
    <w:p w14:paraId="392EC004" w14:textId="77777777" w:rsidR="0044575E" w:rsidRDefault="0044575E" w:rsidP="002B5AF7">
      <w:r>
        <w:continuationSeparator/>
      </w:r>
    </w:p>
  </w:footnote>
  <w:footnote w:type="continuationNotice" w:id="1">
    <w:p w14:paraId="18592C39" w14:textId="77777777" w:rsidR="0044575E" w:rsidRDefault="0044575E"/>
  </w:footnote>
  <w:footnote w:id="2">
    <w:p w14:paraId="0CBD89D9"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1" w:history="1">
        <w:r w:rsidRPr="00B503D9">
          <w:rPr>
            <w:rStyle w:val="Hyperlink"/>
            <w:i/>
            <w:iCs/>
          </w:rPr>
          <w:t>https://www.afdb.org/sites/default/files/2023/09/08/the_african_leaders_nairobi_declaration_on_climate_change-rev-eng.pdf</w:t>
        </w:r>
      </w:hyperlink>
    </w:p>
  </w:footnote>
  <w:footnote w:id="3">
    <w:p w14:paraId="5E5DF178"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2" w:history="1">
        <w:r w:rsidRPr="00B503D9">
          <w:rPr>
            <w:rStyle w:val="Hyperlink"/>
            <w:i/>
            <w:iCs/>
          </w:rPr>
          <w:t>https://www.ifrs.org/groups/international-sustainability-standards-board</w:t>
        </w:r>
      </w:hyperlink>
      <w:r w:rsidRPr="00B503D9">
        <w:rPr>
          <w:i/>
          <w:iCs/>
        </w:rPr>
        <w:t xml:space="preserve"> </w:t>
      </w:r>
    </w:p>
  </w:footnote>
  <w:footnote w:id="4">
    <w:p w14:paraId="550565CE"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3" w:history="1">
        <w:r w:rsidRPr="00B503D9">
          <w:rPr>
            <w:rStyle w:val="Hyperlink"/>
            <w:i/>
            <w:iCs/>
          </w:rPr>
          <w:t>https://www.ifrs.org/issued-standards/ifrs-sustainability-standards-navigator/ifrs-s1-general-requirements/</w:t>
        </w:r>
      </w:hyperlink>
      <w:r w:rsidRPr="00B503D9">
        <w:rPr>
          <w:i/>
          <w:iCs/>
        </w:rPr>
        <w:t xml:space="preserve"> </w:t>
      </w:r>
    </w:p>
  </w:footnote>
  <w:footnote w:id="5">
    <w:p w14:paraId="4B1F682D"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4" w:history="1">
        <w:r w:rsidRPr="00B503D9">
          <w:rPr>
            <w:rStyle w:val="Hyperlink"/>
            <w:i/>
            <w:iCs/>
          </w:rPr>
          <w:t>https://www.ifrs.org/issued-standards/ifrs-sustainability-standards-navigator/ifrs-s2-climate-related-disclosures</w:t>
        </w:r>
      </w:hyperlink>
      <w:r w:rsidRPr="00B503D9">
        <w:rPr>
          <w:i/>
          <w:iCs/>
        </w:rPr>
        <w:t xml:space="preserve"> </w:t>
      </w:r>
    </w:p>
  </w:footnote>
  <w:footnote w:id="6">
    <w:p w14:paraId="0EEC661C" w14:textId="77777777" w:rsidR="00157082" w:rsidRPr="00A028E3" w:rsidRDefault="00157082" w:rsidP="00157082">
      <w:pPr>
        <w:pStyle w:val="FootnoteText"/>
      </w:pPr>
      <w:r w:rsidRPr="00B503D9">
        <w:rPr>
          <w:rStyle w:val="FootnoteReference"/>
          <w:i/>
          <w:iCs/>
        </w:rPr>
        <w:footnoteRef/>
      </w:r>
      <w:r w:rsidRPr="00B503D9">
        <w:rPr>
          <w:i/>
          <w:iCs/>
        </w:rPr>
        <w:t xml:space="preserve"> </w:t>
      </w:r>
      <w:hyperlink r:id="rId5" w:history="1">
        <w:r w:rsidRPr="00B503D9">
          <w:rPr>
            <w:rStyle w:val="Hyperlink"/>
            <w:i/>
            <w:iCs/>
          </w:rPr>
          <w:t>https://www.fsb-tcfd.org/</w:t>
        </w:r>
      </w:hyperlink>
      <w:r>
        <w:t xml:space="preserve"> </w:t>
      </w:r>
    </w:p>
  </w:footnote>
  <w:footnote w:id="7">
    <w:p w14:paraId="47284ECA" w14:textId="2A33B00C" w:rsidR="009F108F" w:rsidRDefault="009F108F" w:rsidP="00B720D9">
      <w:pPr>
        <w:pStyle w:val="FootnoteText"/>
        <w:jc w:val="both"/>
      </w:pPr>
      <w:r>
        <w:rPr>
          <w:rStyle w:val="FootnoteReference"/>
        </w:rPr>
        <w:footnoteRef/>
      </w:r>
      <w:r>
        <w:t xml:space="preserve"> </w:t>
      </w:r>
      <w:r w:rsidRPr="00E21BE7">
        <w:rPr>
          <w:rFonts w:ascii="Arial" w:hAnsi="Arial" w:cs="Arial"/>
          <w:sz w:val="18"/>
          <w:szCs w:val="18"/>
          <w:lang w:val="en-GB"/>
        </w:rPr>
        <w:t xml:space="preserve">This </w:t>
      </w:r>
      <w:r w:rsidR="00B720D9" w:rsidRPr="00E21BE7">
        <w:rPr>
          <w:rFonts w:ascii="Arial" w:hAnsi="Arial" w:cs="Arial"/>
          <w:sz w:val="18"/>
          <w:szCs w:val="18"/>
          <w:lang w:val="en-GB"/>
        </w:rPr>
        <w:t>scenario</w:t>
      </w:r>
      <w:r w:rsidRPr="00E21BE7">
        <w:rPr>
          <w:rFonts w:ascii="Arial" w:hAnsi="Arial" w:cs="Arial"/>
          <w:sz w:val="18"/>
          <w:szCs w:val="18"/>
          <w:lang w:val="en-GB"/>
        </w:rPr>
        <w:t xml:space="preserve"> is developed by the AIM </w:t>
      </w:r>
      <w:r w:rsidR="00B720D9" w:rsidRPr="00E21BE7">
        <w:rPr>
          <w:rFonts w:ascii="Arial" w:hAnsi="Arial" w:cs="Arial"/>
          <w:sz w:val="18"/>
          <w:szCs w:val="18"/>
          <w:lang w:val="en-GB"/>
        </w:rPr>
        <w:t>modelling</w:t>
      </w:r>
      <w:r w:rsidRPr="00E21BE7">
        <w:rPr>
          <w:rFonts w:ascii="Arial" w:hAnsi="Arial" w:cs="Arial"/>
          <w:sz w:val="18"/>
          <w:szCs w:val="18"/>
          <w:lang w:val="en-GB"/>
        </w:rPr>
        <w:t xml:space="preserve"> team at the National Institute for Environmental Studies (NIES), Japan (Fujino et al., 2006; Hijioka et al., 2008). It is a stabilization pathway of time series of emissions and concentrations of the full suite of greenhouse gases and aerosols and chemically active gases, as well as land use/land cover, where total radiative forcing is stabilized at 6.0 W/m2 after 2100 by employing a range of technologies and strategies for reducing greenhouse gas emissions. RCP 6.0 aims for a smooth stabilization of concentrations by 2150. In comparison to the earlier SRES scenarios</w:t>
      </w:r>
      <w:r w:rsidR="00457BC1">
        <w:rPr>
          <w:rFonts w:ascii="Arial" w:hAnsi="Arial" w:cs="Arial"/>
          <w:sz w:val="18"/>
          <w:szCs w:val="18"/>
          <w:lang w:val="en-GB"/>
        </w:rPr>
        <w:t>,</w:t>
      </w:r>
      <w:r w:rsidRPr="00E21BE7">
        <w:rPr>
          <w:rFonts w:ascii="Arial" w:hAnsi="Arial" w:cs="Arial"/>
          <w:sz w:val="18"/>
          <w:szCs w:val="18"/>
          <w:lang w:val="en-GB"/>
        </w:rPr>
        <w:t xml:space="preserve"> RCP6 is close to SRES A1B (more after 2100 than during the 21st century).</w:t>
      </w:r>
    </w:p>
  </w:footnote>
  <w:footnote w:id="8">
    <w:p w14:paraId="2B866BC8" w14:textId="6722CFB0" w:rsidR="00B067F9" w:rsidRPr="00532173" w:rsidRDefault="00B067F9" w:rsidP="00532173">
      <w:pPr>
        <w:pStyle w:val="FootnoteText"/>
        <w:jc w:val="both"/>
        <w:rPr>
          <w:rFonts w:ascii="Arial" w:hAnsi="Arial" w:cs="Arial"/>
          <w:sz w:val="16"/>
          <w:szCs w:val="16"/>
        </w:rPr>
      </w:pPr>
      <w:r w:rsidRPr="00532173">
        <w:rPr>
          <w:rStyle w:val="FootnoteReference"/>
          <w:rFonts w:ascii="Arial" w:hAnsi="Arial" w:cs="Arial"/>
          <w:sz w:val="16"/>
          <w:szCs w:val="16"/>
        </w:rPr>
        <w:footnoteRef/>
      </w:r>
      <w:r w:rsidRPr="00532173">
        <w:rPr>
          <w:rFonts w:ascii="Arial" w:hAnsi="Arial" w:cs="Arial"/>
          <w:sz w:val="16"/>
          <w:szCs w:val="16"/>
        </w:rPr>
        <w:t xml:space="preserve"> CFRF. 2021. </w:t>
      </w:r>
      <w:r w:rsidR="005D14A7" w:rsidRPr="00532173">
        <w:rPr>
          <w:rFonts w:ascii="Arial" w:hAnsi="Arial" w:cs="Arial"/>
          <w:sz w:val="16"/>
          <w:szCs w:val="16"/>
        </w:rPr>
        <w:t>Climate Risk Appetite Statements.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CF4DB" w14:textId="26FC7E09" w:rsidR="00991A46" w:rsidRDefault="00000000">
    <w:pPr>
      <w:pStyle w:val="Header"/>
    </w:pPr>
    <w:r>
      <w:rPr>
        <w:noProof/>
      </w:rPr>
      <w:pict w14:anchorId="151F8A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4" o:spid="_x0000_s1027" type="#_x0000_t136" style="position:absolute;margin-left:0;margin-top:0;width:446.45pt;height:189.4pt;rotation:315;z-index:-251658239;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1C795" w14:textId="147BC95F" w:rsidR="00991A46" w:rsidRDefault="00000000">
    <w:pPr>
      <w:pStyle w:val="Header"/>
    </w:pPr>
    <w:r>
      <w:rPr>
        <w:noProof/>
      </w:rPr>
      <w:pict w14:anchorId="0FA477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5" o:spid="_x0000_s1026" type="#_x0000_t136" style="position:absolute;margin-left:0;margin-top:0;width:446.45pt;height:189.4pt;rotation:315;z-index:-251658238;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5D73C6" w14:textId="3025EB3D" w:rsidR="00991A46" w:rsidRDefault="00000000">
    <w:pPr>
      <w:pStyle w:val="Header"/>
    </w:pPr>
    <w:r>
      <w:rPr>
        <w:noProof/>
      </w:rPr>
      <w:pict w14:anchorId="22B7AB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3" o:spid="_x0000_s1025" type="#_x0000_t136" style="position:absolute;margin-left:0;margin-top:0;width:446.45pt;height:189.4pt;rotation:315;z-index:-251658240;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636EE"/>
    <w:multiLevelType w:val="hybridMultilevel"/>
    <w:tmpl w:val="806AFDD8"/>
    <w:lvl w:ilvl="0" w:tplc="2F5E7DF8">
      <w:start w:val="1"/>
      <w:numFmt w:val="bullet"/>
      <w:lvlText w:val="•"/>
      <w:lvlJc w:val="left"/>
      <w:pPr>
        <w:tabs>
          <w:tab w:val="num" w:pos="720"/>
        </w:tabs>
        <w:ind w:left="720" w:hanging="360"/>
      </w:pPr>
      <w:rPr>
        <w:rFonts w:ascii="Arial" w:hAnsi="Arial" w:hint="default"/>
      </w:rPr>
    </w:lvl>
    <w:lvl w:ilvl="1" w:tplc="F048B61E">
      <w:numFmt w:val="bullet"/>
      <w:lvlText w:val="ü"/>
      <w:lvlJc w:val="left"/>
      <w:pPr>
        <w:tabs>
          <w:tab w:val="num" w:pos="1440"/>
        </w:tabs>
        <w:ind w:left="1440" w:hanging="360"/>
      </w:pPr>
      <w:rPr>
        <w:rFonts w:ascii="Wingdings" w:hAnsi="Wingdings" w:hint="default"/>
      </w:rPr>
    </w:lvl>
    <w:lvl w:ilvl="2" w:tplc="2ED4E838" w:tentative="1">
      <w:start w:val="1"/>
      <w:numFmt w:val="bullet"/>
      <w:lvlText w:val="•"/>
      <w:lvlJc w:val="left"/>
      <w:pPr>
        <w:tabs>
          <w:tab w:val="num" w:pos="2160"/>
        </w:tabs>
        <w:ind w:left="2160" w:hanging="360"/>
      </w:pPr>
      <w:rPr>
        <w:rFonts w:ascii="Arial" w:hAnsi="Arial" w:hint="default"/>
      </w:rPr>
    </w:lvl>
    <w:lvl w:ilvl="3" w:tplc="5762B382" w:tentative="1">
      <w:start w:val="1"/>
      <w:numFmt w:val="bullet"/>
      <w:lvlText w:val="•"/>
      <w:lvlJc w:val="left"/>
      <w:pPr>
        <w:tabs>
          <w:tab w:val="num" w:pos="2880"/>
        </w:tabs>
        <w:ind w:left="2880" w:hanging="360"/>
      </w:pPr>
      <w:rPr>
        <w:rFonts w:ascii="Arial" w:hAnsi="Arial" w:hint="default"/>
      </w:rPr>
    </w:lvl>
    <w:lvl w:ilvl="4" w:tplc="06C2992C" w:tentative="1">
      <w:start w:val="1"/>
      <w:numFmt w:val="bullet"/>
      <w:lvlText w:val="•"/>
      <w:lvlJc w:val="left"/>
      <w:pPr>
        <w:tabs>
          <w:tab w:val="num" w:pos="3600"/>
        </w:tabs>
        <w:ind w:left="3600" w:hanging="360"/>
      </w:pPr>
      <w:rPr>
        <w:rFonts w:ascii="Arial" w:hAnsi="Arial" w:hint="default"/>
      </w:rPr>
    </w:lvl>
    <w:lvl w:ilvl="5" w:tplc="AB66D9E6" w:tentative="1">
      <w:start w:val="1"/>
      <w:numFmt w:val="bullet"/>
      <w:lvlText w:val="•"/>
      <w:lvlJc w:val="left"/>
      <w:pPr>
        <w:tabs>
          <w:tab w:val="num" w:pos="4320"/>
        </w:tabs>
        <w:ind w:left="4320" w:hanging="360"/>
      </w:pPr>
      <w:rPr>
        <w:rFonts w:ascii="Arial" w:hAnsi="Arial" w:hint="default"/>
      </w:rPr>
    </w:lvl>
    <w:lvl w:ilvl="6" w:tplc="FBF464D2" w:tentative="1">
      <w:start w:val="1"/>
      <w:numFmt w:val="bullet"/>
      <w:lvlText w:val="•"/>
      <w:lvlJc w:val="left"/>
      <w:pPr>
        <w:tabs>
          <w:tab w:val="num" w:pos="5040"/>
        </w:tabs>
        <w:ind w:left="5040" w:hanging="360"/>
      </w:pPr>
      <w:rPr>
        <w:rFonts w:ascii="Arial" w:hAnsi="Arial" w:hint="default"/>
      </w:rPr>
    </w:lvl>
    <w:lvl w:ilvl="7" w:tplc="5D5CE48C" w:tentative="1">
      <w:start w:val="1"/>
      <w:numFmt w:val="bullet"/>
      <w:lvlText w:val="•"/>
      <w:lvlJc w:val="left"/>
      <w:pPr>
        <w:tabs>
          <w:tab w:val="num" w:pos="5760"/>
        </w:tabs>
        <w:ind w:left="5760" w:hanging="360"/>
      </w:pPr>
      <w:rPr>
        <w:rFonts w:ascii="Arial" w:hAnsi="Arial" w:hint="default"/>
      </w:rPr>
    </w:lvl>
    <w:lvl w:ilvl="8" w:tplc="5122FEE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6B87AFD"/>
    <w:multiLevelType w:val="hybridMultilevel"/>
    <w:tmpl w:val="0E869B9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171208"/>
    <w:multiLevelType w:val="hybridMultilevel"/>
    <w:tmpl w:val="F4FCF0B4"/>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A81E4F"/>
    <w:multiLevelType w:val="hybridMultilevel"/>
    <w:tmpl w:val="68808B06"/>
    <w:lvl w:ilvl="0" w:tplc="08090001">
      <w:start w:val="1"/>
      <w:numFmt w:val="bullet"/>
      <w:lvlText w:val=""/>
      <w:lvlJc w:val="left"/>
      <w:pPr>
        <w:ind w:left="360" w:hanging="360"/>
      </w:pPr>
      <w:rPr>
        <w:rFonts w:ascii="Symbol" w:hAnsi="Symbol" w:hint="default"/>
      </w:rPr>
    </w:lvl>
    <w:lvl w:ilvl="1" w:tplc="FFFFFFFF">
      <w:start w:val="1"/>
      <w:numFmt w:val="bullet"/>
      <w:lvlText w:val=""/>
      <w:lvlJc w:val="left"/>
      <w:pPr>
        <w:ind w:left="1080" w:hanging="360"/>
      </w:pPr>
      <w:rPr>
        <w:rFonts w:ascii="Symbol" w:hAnsi="Symbol" w:hint="default"/>
      </w:r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204641C"/>
    <w:multiLevelType w:val="hybridMultilevel"/>
    <w:tmpl w:val="866657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4E67F63"/>
    <w:multiLevelType w:val="hybridMultilevel"/>
    <w:tmpl w:val="84F4F4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B2B074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BD448F0"/>
    <w:multiLevelType w:val="multilevel"/>
    <w:tmpl w:val="D37E385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1CBE555D"/>
    <w:multiLevelType w:val="hybridMultilevel"/>
    <w:tmpl w:val="48B0EF9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E96923"/>
    <w:multiLevelType w:val="hybridMultilevel"/>
    <w:tmpl w:val="73FA9E16"/>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F20212"/>
    <w:multiLevelType w:val="hybridMultilevel"/>
    <w:tmpl w:val="2C08B4C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57C487F"/>
    <w:multiLevelType w:val="hybridMultilevel"/>
    <w:tmpl w:val="D89A33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5D62B1C"/>
    <w:multiLevelType w:val="hybridMultilevel"/>
    <w:tmpl w:val="0F8E0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9862DB3"/>
    <w:multiLevelType w:val="hybridMultilevel"/>
    <w:tmpl w:val="B8202EA0"/>
    <w:lvl w:ilvl="0" w:tplc="0809000F">
      <w:start w:val="1"/>
      <w:numFmt w:val="decimal"/>
      <w:lvlText w:val="%1."/>
      <w:lvlJc w:val="left"/>
      <w:pPr>
        <w:ind w:left="718" w:hanging="360"/>
      </w:pPr>
    </w:lvl>
    <w:lvl w:ilvl="1" w:tplc="08090019" w:tentative="1">
      <w:start w:val="1"/>
      <w:numFmt w:val="lowerLetter"/>
      <w:lvlText w:val="%2."/>
      <w:lvlJc w:val="left"/>
      <w:pPr>
        <w:ind w:left="1438" w:hanging="360"/>
      </w:pPr>
    </w:lvl>
    <w:lvl w:ilvl="2" w:tplc="0809001B" w:tentative="1">
      <w:start w:val="1"/>
      <w:numFmt w:val="lowerRoman"/>
      <w:lvlText w:val="%3."/>
      <w:lvlJc w:val="right"/>
      <w:pPr>
        <w:ind w:left="2158" w:hanging="180"/>
      </w:pPr>
    </w:lvl>
    <w:lvl w:ilvl="3" w:tplc="0809000F" w:tentative="1">
      <w:start w:val="1"/>
      <w:numFmt w:val="decimal"/>
      <w:lvlText w:val="%4."/>
      <w:lvlJc w:val="left"/>
      <w:pPr>
        <w:ind w:left="2878" w:hanging="360"/>
      </w:pPr>
    </w:lvl>
    <w:lvl w:ilvl="4" w:tplc="08090019" w:tentative="1">
      <w:start w:val="1"/>
      <w:numFmt w:val="lowerLetter"/>
      <w:lvlText w:val="%5."/>
      <w:lvlJc w:val="left"/>
      <w:pPr>
        <w:ind w:left="3598" w:hanging="360"/>
      </w:pPr>
    </w:lvl>
    <w:lvl w:ilvl="5" w:tplc="0809001B" w:tentative="1">
      <w:start w:val="1"/>
      <w:numFmt w:val="lowerRoman"/>
      <w:lvlText w:val="%6."/>
      <w:lvlJc w:val="right"/>
      <w:pPr>
        <w:ind w:left="4318" w:hanging="180"/>
      </w:pPr>
    </w:lvl>
    <w:lvl w:ilvl="6" w:tplc="0809000F" w:tentative="1">
      <w:start w:val="1"/>
      <w:numFmt w:val="decimal"/>
      <w:lvlText w:val="%7."/>
      <w:lvlJc w:val="left"/>
      <w:pPr>
        <w:ind w:left="5038" w:hanging="360"/>
      </w:pPr>
    </w:lvl>
    <w:lvl w:ilvl="7" w:tplc="08090019" w:tentative="1">
      <w:start w:val="1"/>
      <w:numFmt w:val="lowerLetter"/>
      <w:lvlText w:val="%8."/>
      <w:lvlJc w:val="left"/>
      <w:pPr>
        <w:ind w:left="5758" w:hanging="360"/>
      </w:pPr>
    </w:lvl>
    <w:lvl w:ilvl="8" w:tplc="0809001B" w:tentative="1">
      <w:start w:val="1"/>
      <w:numFmt w:val="lowerRoman"/>
      <w:lvlText w:val="%9."/>
      <w:lvlJc w:val="right"/>
      <w:pPr>
        <w:ind w:left="6478" w:hanging="180"/>
      </w:pPr>
    </w:lvl>
  </w:abstractNum>
  <w:abstractNum w:abstractNumId="14" w15:restartNumberingAfterBreak="0">
    <w:nsid w:val="2E687A05"/>
    <w:multiLevelType w:val="hybridMultilevel"/>
    <w:tmpl w:val="525C2CC0"/>
    <w:lvl w:ilvl="0" w:tplc="7206EAAE">
      <w:start w:val="5"/>
      <w:numFmt w:val="bullet"/>
      <w:lvlText w:val="-"/>
      <w:lvlJc w:val="left"/>
      <w:pPr>
        <w:ind w:left="360" w:hanging="360"/>
      </w:pPr>
      <w:rPr>
        <w:rFonts w:ascii="Arial" w:eastAsia="Times New Roman" w:hAnsi="Arial" w:cs="Arial"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15" w15:restartNumberingAfterBreak="0">
    <w:nsid w:val="31D32B0A"/>
    <w:multiLevelType w:val="hybridMultilevel"/>
    <w:tmpl w:val="3700448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35331F9"/>
    <w:multiLevelType w:val="hybridMultilevel"/>
    <w:tmpl w:val="D62254D0"/>
    <w:lvl w:ilvl="0" w:tplc="19A8839C">
      <w:start w:val="1"/>
      <w:numFmt w:val="bullet"/>
      <w:lvlText w:val="•"/>
      <w:lvlJc w:val="left"/>
      <w:pPr>
        <w:tabs>
          <w:tab w:val="num" w:pos="720"/>
        </w:tabs>
        <w:ind w:left="720" w:hanging="360"/>
      </w:pPr>
      <w:rPr>
        <w:rFonts w:ascii="Arial" w:hAnsi="Arial" w:hint="default"/>
      </w:rPr>
    </w:lvl>
    <w:lvl w:ilvl="1" w:tplc="6F6C1A10" w:tentative="1">
      <w:start w:val="1"/>
      <w:numFmt w:val="bullet"/>
      <w:lvlText w:val="•"/>
      <w:lvlJc w:val="left"/>
      <w:pPr>
        <w:tabs>
          <w:tab w:val="num" w:pos="1440"/>
        </w:tabs>
        <w:ind w:left="1440" w:hanging="360"/>
      </w:pPr>
      <w:rPr>
        <w:rFonts w:ascii="Arial" w:hAnsi="Arial" w:hint="default"/>
      </w:rPr>
    </w:lvl>
    <w:lvl w:ilvl="2" w:tplc="3DECDE02" w:tentative="1">
      <w:start w:val="1"/>
      <w:numFmt w:val="bullet"/>
      <w:lvlText w:val="•"/>
      <w:lvlJc w:val="left"/>
      <w:pPr>
        <w:tabs>
          <w:tab w:val="num" w:pos="2160"/>
        </w:tabs>
        <w:ind w:left="2160" w:hanging="360"/>
      </w:pPr>
      <w:rPr>
        <w:rFonts w:ascii="Arial" w:hAnsi="Arial" w:hint="default"/>
      </w:rPr>
    </w:lvl>
    <w:lvl w:ilvl="3" w:tplc="7F28B532" w:tentative="1">
      <w:start w:val="1"/>
      <w:numFmt w:val="bullet"/>
      <w:lvlText w:val="•"/>
      <w:lvlJc w:val="left"/>
      <w:pPr>
        <w:tabs>
          <w:tab w:val="num" w:pos="2880"/>
        </w:tabs>
        <w:ind w:left="2880" w:hanging="360"/>
      </w:pPr>
      <w:rPr>
        <w:rFonts w:ascii="Arial" w:hAnsi="Arial" w:hint="default"/>
      </w:rPr>
    </w:lvl>
    <w:lvl w:ilvl="4" w:tplc="E91C6C2A" w:tentative="1">
      <w:start w:val="1"/>
      <w:numFmt w:val="bullet"/>
      <w:lvlText w:val="•"/>
      <w:lvlJc w:val="left"/>
      <w:pPr>
        <w:tabs>
          <w:tab w:val="num" w:pos="3600"/>
        </w:tabs>
        <w:ind w:left="3600" w:hanging="360"/>
      </w:pPr>
      <w:rPr>
        <w:rFonts w:ascii="Arial" w:hAnsi="Arial" w:hint="default"/>
      </w:rPr>
    </w:lvl>
    <w:lvl w:ilvl="5" w:tplc="FA508F76" w:tentative="1">
      <w:start w:val="1"/>
      <w:numFmt w:val="bullet"/>
      <w:lvlText w:val="•"/>
      <w:lvlJc w:val="left"/>
      <w:pPr>
        <w:tabs>
          <w:tab w:val="num" w:pos="4320"/>
        </w:tabs>
        <w:ind w:left="4320" w:hanging="360"/>
      </w:pPr>
      <w:rPr>
        <w:rFonts w:ascii="Arial" w:hAnsi="Arial" w:hint="default"/>
      </w:rPr>
    </w:lvl>
    <w:lvl w:ilvl="6" w:tplc="3AA64AD8" w:tentative="1">
      <w:start w:val="1"/>
      <w:numFmt w:val="bullet"/>
      <w:lvlText w:val="•"/>
      <w:lvlJc w:val="left"/>
      <w:pPr>
        <w:tabs>
          <w:tab w:val="num" w:pos="5040"/>
        </w:tabs>
        <w:ind w:left="5040" w:hanging="360"/>
      </w:pPr>
      <w:rPr>
        <w:rFonts w:ascii="Arial" w:hAnsi="Arial" w:hint="default"/>
      </w:rPr>
    </w:lvl>
    <w:lvl w:ilvl="7" w:tplc="A0183148" w:tentative="1">
      <w:start w:val="1"/>
      <w:numFmt w:val="bullet"/>
      <w:lvlText w:val="•"/>
      <w:lvlJc w:val="left"/>
      <w:pPr>
        <w:tabs>
          <w:tab w:val="num" w:pos="5760"/>
        </w:tabs>
        <w:ind w:left="5760" w:hanging="360"/>
      </w:pPr>
      <w:rPr>
        <w:rFonts w:ascii="Arial" w:hAnsi="Arial" w:hint="default"/>
      </w:rPr>
    </w:lvl>
    <w:lvl w:ilvl="8" w:tplc="1656680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5C51266"/>
    <w:multiLevelType w:val="hybridMultilevel"/>
    <w:tmpl w:val="7C38063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406369"/>
    <w:multiLevelType w:val="hybridMultilevel"/>
    <w:tmpl w:val="1E56353C"/>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A0334E7"/>
    <w:multiLevelType w:val="hybridMultilevel"/>
    <w:tmpl w:val="8C46ED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123C0B"/>
    <w:multiLevelType w:val="hybridMultilevel"/>
    <w:tmpl w:val="5C7A33EE"/>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21" w15:restartNumberingAfterBreak="0">
    <w:nsid w:val="49447B79"/>
    <w:multiLevelType w:val="hybridMultilevel"/>
    <w:tmpl w:val="5890DE20"/>
    <w:lvl w:ilvl="0" w:tplc="C68C71BE">
      <w:numFmt w:val="bullet"/>
      <w:lvlText w:val="–"/>
      <w:lvlJc w:val="left"/>
      <w:pPr>
        <w:ind w:left="360" w:hanging="360"/>
      </w:pPr>
      <w:rPr>
        <w:rFonts w:ascii="Verdana" w:eastAsia="Verdana" w:hAnsi="Verdana" w:cs="Verdana" w:hint="default"/>
        <w:w w:val="94"/>
        <w:sz w:val="16"/>
        <w:szCs w:val="16"/>
        <w:lang w:val="en-US" w:eastAsia="en-US" w:bidi="ar-SA"/>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CE53A28"/>
    <w:multiLevelType w:val="hybridMultilevel"/>
    <w:tmpl w:val="7EDEAD6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FF4D2D"/>
    <w:multiLevelType w:val="hybridMultilevel"/>
    <w:tmpl w:val="87FC6184"/>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25D0BA9"/>
    <w:multiLevelType w:val="hybridMultilevel"/>
    <w:tmpl w:val="053C39E8"/>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2C342E2"/>
    <w:multiLevelType w:val="hybridMultilevel"/>
    <w:tmpl w:val="81C00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996288"/>
    <w:multiLevelType w:val="hybridMultilevel"/>
    <w:tmpl w:val="7D2460BC"/>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D722A93"/>
    <w:multiLevelType w:val="hybridMultilevel"/>
    <w:tmpl w:val="46581960"/>
    <w:lvl w:ilvl="0" w:tplc="7206EAAE">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1A0D32"/>
    <w:multiLevelType w:val="hybridMultilevel"/>
    <w:tmpl w:val="DE805320"/>
    <w:lvl w:ilvl="0" w:tplc="7206EAAE">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CA471C"/>
    <w:multiLevelType w:val="hybridMultilevel"/>
    <w:tmpl w:val="890032DA"/>
    <w:lvl w:ilvl="0" w:tplc="378C4BC8">
      <w:start w:val="1"/>
      <w:numFmt w:val="bullet"/>
      <w:lvlText w:val="•"/>
      <w:lvlJc w:val="left"/>
      <w:pPr>
        <w:tabs>
          <w:tab w:val="num" w:pos="720"/>
        </w:tabs>
        <w:ind w:left="720" w:hanging="360"/>
      </w:pPr>
      <w:rPr>
        <w:rFonts w:ascii="Arial" w:hAnsi="Arial" w:hint="default"/>
      </w:rPr>
    </w:lvl>
    <w:lvl w:ilvl="1" w:tplc="B9489028" w:tentative="1">
      <w:start w:val="1"/>
      <w:numFmt w:val="bullet"/>
      <w:lvlText w:val="•"/>
      <w:lvlJc w:val="left"/>
      <w:pPr>
        <w:tabs>
          <w:tab w:val="num" w:pos="1440"/>
        </w:tabs>
        <w:ind w:left="1440" w:hanging="360"/>
      </w:pPr>
      <w:rPr>
        <w:rFonts w:ascii="Arial" w:hAnsi="Arial" w:hint="default"/>
      </w:rPr>
    </w:lvl>
    <w:lvl w:ilvl="2" w:tplc="E43C7B7C" w:tentative="1">
      <w:start w:val="1"/>
      <w:numFmt w:val="bullet"/>
      <w:lvlText w:val="•"/>
      <w:lvlJc w:val="left"/>
      <w:pPr>
        <w:tabs>
          <w:tab w:val="num" w:pos="2160"/>
        </w:tabs>
        <w:ind w:left="2160" w:hanging="360"/>
      </w:pPr>
      <w:rPr>
        <w:rFonts w:ascii="Arial" w:hAnsi="Arial" w:hint="default"/>
      </w:rPr>
    </w:lvl>
    <w:lvl w:ilvl="3" w:tplc="AAB44B42" w:tentative="1">
      <w:start w:val="1"/>
      <w:numFmt w:val="bullet"/>
      <w:lvlText w:val="•"/>
      <w:lvlJc w:val="left"/>
      <w:pPr>
        <w:tabs>
          <w:tab w:val="num" w:pos="2880"/>
        </w:tabs>
        <w:ind w:left="2880" w:hanging="360"/>
      </w:pPr>
      <w:rPr>
        <w:rFonts w:ascii="Arial" w:hAnsi="Arial" w:hint="default"/>
      </w:rPr>
    </w:lvl>
    <w:lvl w:ilvl="4" w:tplc="951CF898" w:tentative="1">
      <w:start w:val="1"/>
      <w:numFmt w:val="bullet"/>
      <w:lvlText w:val="•"/>
      <w:lvlJc w:val="left"/>
      <w:pPr>
        <w:tabs>
          <w:tab w:val="num" w:pos="3600"/>
        </w:tabs>
        <w:ind w:left="3600" w:hanging="360"/>
      </w:pPr>
      <w:rPr>
        <w:rFonts w:ascii="Arial" w:hAnsi="Arial" w:hint="default"/>
      </w:rPr>
    </w:lvl>
    <w:lvl w:ilvl="5" w:tplc="8D0A2EFA" w:tentative="1">
      <w:start w:val="1"/>
      <w:numFmt w:val="bullet"/>
      <w:lvlText w:val="•"/>
      <w:lvlJc w:val="left"/>
      <w:pPr>
        <w:tabs>
          <w:tab w:val="num" w:pos="4320"/>
        </w:tabs>
        <w:ind w:left="4320" w:hanging="360"/>
      </w:pPr>
      <w:rPr>
        <w:rFonts w:ascii="Arial" w:hAnsi="Arial" w:hint="default"/>
      </w:rPr>
    </w:lvl>
    <w:lvl w:ilvl="6" w:tplc="9DAAED2A" w:tentative="1">
      <w:start w:val="1"/>
      <w:numFmt w:val="bullet"/>
      <w:lvlText w:val="•"/>
      <w:lvlJc w:val="left"/>
      <w:pPr>
        <w:tabs>
          <w:tab w:val="num" w:pos="5040"/>
        </w:tabs>
        <w:ind w:left="5040" w:hanging="360"/>
      </w:pPr>
      <w:rPr>
        <w:rFonts w:ascii="Arial" w:hAnsi="Arial" w:hint="default"/>
      </w:rPr>
    </w:lvl>
    <w:lvl w:ilvl="7" w:tplc="1174E38C" w:tentative="1">
      <w:start w:val="1"/>
      <w:numFmt w:val="bullet"/>
      <w:lvlText w:val="•"/>
      <w:lvlJc w:val="left"/>
      <w:pPr>
        <w:tabs>
          <w:tab w:val="num" w:pos="5760"/>
        </w:tabs>
        <w:ind w:left="5760" w:hanging="360"/>
      </w:pPr>
      <w:rPr>
        <w:rFonts w:ascii="Arial" w:hAnsi="Arial" w:hint="default"/>
      </w:rPr>
    </w:lvl>
    <w:lvl w:ilvl="8" w:tplc="19C4DD76"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61FA0511"/>
    <w:multiLevelType w:val="hybridMultilevel"/>
    <w:tmpl w:val="0F126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2DF5BA6"/>
    <w:multiLevelType w:val="multilevel"/>
    <w:tmpl w:val="E08841C4"/>
    <w:lvl w:ilvl="0">
      <w:start w:val="1"/>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6F210A3"/>
    <w:multiLevelType w:val="hybridMultilevel"/>
    <w:tmpl w:val="E6341548"/>
    <w:lvl w:ilvl="0" w:tplc="7206EAAE">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7422ED0"/>
    <w:multiLevelType w:val="hybridMultilevel"/>
    <w:tmpl w:val="5D562A0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8997720"/>
    <w:multiLevelType w:val="hybridMultilevel"/>
    <w:tmpl w:val="9856C3E4"/>
    <w:lvl w:ilvl="0" w:tplc="87401496">
      <w:start w:val="1"/>
      <w:numFmt w:val="bullet"/>
      <w:lvlText w:val="•"/>
      <w:lvlJc w:val="left"/>
      <w:pPr>
        <w:tabs>
          <w:tab w:val="num" w:pos="720"/>
        </w:tabs>
        <w:ind w:left="720" w:hanging="360"/>
      </w:pPr>
      <w:rPr>
        <w:rFonts w:ascii="Arial" w:hAnsi="Arial" w:hint="default"/>
      </w:rPr>
    </w:lvl>
    <w:lvl w:ilvl="1" w:tplc="0FA0E2F6">
      <w:numFmt w:val="bullet"/>
      <w:lvlText w:val="ü"/>
      <w:lvlJc w:val="left"/>
      <w:pPr>
        <w:tabs>
          <w:tab w:val="num" w:pos="1440"/>
        </w:tabs>
        <w:ind w:left="1440" w:hanging="360"/>
      </w:pPr>
      <w:rPr>
        <w:rFonts w:ascii="Wingdings" w:hAnsi="Wingdings" w:hint="default"/>
      </w:rPr>
    </w:lvl>
    <w:lvl w:ilvl="2" w:tplc="82A45278" w:tentative="1">
      <w:start w:val="1"/>
      <w:numFmt w:val="bullet"/>
      <w:lvlText w:val="•"/>
      <w:lvlJc w:val="left"/>
      <w:pPr>
        <w:tabs>
          <w:tab w:val="num" w:pos="2160"/>
        </w:tabs>
        <w:ind w:left="2160" w:hanging="360"/>
      </w:pPr>
      <w:rPr>
        <w:rFonts w:ascii="Arial" w:hAnsi="Arial" w:hint="default"/>
      </w:rPr>
    </w:lvl>
    <w:lvl w:ilvl="3" w:tplc="2EACDD08" w:tentative="1">
      <w:start w:val="1"/>
      <w:numFmt w:val="bullet"/>
      <w:lvlText w:val="•"/>
      <w:lvlJc w:val="left"/>
      <w:pPr>
        <w:tabs>
          <w:tab w:val="num" w:pos="2880"/>
        </w:tabs>
        <w:ind w:left="2880" w:hanging="360"/>
      </w:pPr>
      <w:rPr>
        <w:rFonts w:ascii="Arial" w:hAnsi="Arial" w:hint="default"/>
      </w:rPr>
    </w:lvl>
    <w:lvl w:ilvl="4" w:tplc="F816F670" w:tentative="1">
      <w:start w:val="1"/>
      <w:numFmt w:val="bullet"/>
      <w:lvlText w:val="•"/>
      <w:lvlJc w:val="left"/>
      <w:pPr>
        <w:tabs>
          <w:tab w:val="num" w:pos="3600"/>
        </w:tabs>
        <w:ind w:left="3600" w:hanging="360"/>
      </w:pPr>
      <w:rPr>
        <w:rFonts w:ascii="Arial" w:hAnsi="Arial" w:hint="default"/>
      </w:rPr>
    </w:lvl>
    <w:lvl w:ilvl="5" w:tplc="CE8423DA" w:tentative="1">
      <w:start w:val="1"/>
      <w:numFmt w:val="bullet"/>
      <w:lvlText w:val="•"/>
      <w:lvlJc w:val="left"/>
      <w:pPr>
        <w:tabs>
          <w:tab w:val="num" w:pos="4320"/>
        </w:tabs>
        <w:ind w:left="4320" w:hanging="360"/>
      </w:pPr>
      <w:rPr>
        <w:rFonts w:ascii="Arial" w:hAnsi="Arial" w:hint="default"/>
      </w:rPr>
    </w:lvl>
    <w:lvl w:ilvl="6" w:tplc="ABCC3C36" w:tentative="1">
      <w:start w:val="1"/>
      <w:numFmt w:val="bullet"/>
      <w:lvlText w:val="•"/>
      <w:lvlJc w:val="left"/>
      <w:pPr>
        <w:tabs>
          <w:tab w:val="num" w:pos="5040"/>
        </w:tabs>
        <w:ind w:left="5040" w:hanging="360"/>
      </w:pPr>
      <w:rPr>
        <w:rFonts w:ascii="Arial" w:hAnsi="Arial" w:hint="default"/>
      </w:rPr>
    </w:lvl>
    <w:lvl w:ilvl="7" w:tplc="3F6A4366" w:tentative="1">
      <w:start w:val="1"/>
      <w:numFmt w:val="bullet"/>
      <w:lvlText w:val="•"/>
      <w:lvlJc w:val="left"/>
      <w:pPr>
        <w:tabs>
          <w:tab w:val="num" w:pos="5760"/>
        </w:tabs>
        <w:ind w:left="5760" w:hanging="360"/>
      </w:pPr>
      <w:rPr>
        <w:rFonts w:ascii="Arial" w:hAnsi="Arial" w:hint="default"/>
      </w:rPr>
    </w:lvl>
    <w:lvl w:ilvl="8" w:tplc="0B82FC66"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D9370D7"/>
    <w:multiLevelType w:val="hybridMultilevel"/>
    <w:tmpl w:val="6CCA2156"/>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766B43A4"/>
    <w:multiLevelType w:val="hybridMultilevel"/>
    <w:tmpl w:val="7182FB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9771A44"/>
    <w:multiLevelType w:val="hybridMultilevel"/>
    <w:tmpl w:val="1D629448"/>
    <w:lvl w:ilvl="0" w:tplc="7206EAAE">
      <w:start w:val="5"/>
      <w:numFmt w:val="bullet"/>
      <w:lvlText w:val="-"/>
      <w:lvlJc w:val="left"/>
      <w:pPr>
        <w:ind w:left="360" w:hanging="360"/>
      </w:pPr>
      <w:rPr>
        <w:rFonts w:ascii="Arial" w:eastAsia="Times New Roman" w:hAnsi="Arial" w:cs="Arial" w:hint="default"/>
      </w:rPr>
    </w:lvl>
    <w:lvl w:ilvl="1" w:tplc="FFFFFFFF" w:tentative="1">
      <w:start w:val="1"/>
      <w:numFmt w:val="lowerLetter"/>
      <w:lvlText w:val="%2."/>
      <w:lvlJc w:val="left"/>
      <w:pPr>
        <w:ind w:left="1078" w:hanging="360"/>
      </w:pPr>
    </w:lvl>
    <w:lvl w:ilvl="2" w:tplc="FFFFFFFF" w:tentative="1">
      <w:start w:val="1"/>
      <w:numFmt w:val="lowerRoman"/>
      <w:lvlText w:val="%3."/>
      <w:lvlJc w:val="right"/>
      <w:pPr>
        <w:ind w:left="1798" w:hanging="180"/>
      </w:pPr>
    </w:lvl>
    <w:lvl w:ilvl="3" w:tplc="FFFFFFFF" w:tentative="1">
      <w:start w:val="1"/>
      <w:numFmt w:val="decimal"/>
      <w:lvlText w:val="%4."/>
      <w:lvlJc w:val="left"/>
      <w:pPr>
        <w:ind w:left="2518" w:hanging="360"/>
      </w:pPr>
    </w:lvl>
    <w:lvl w:ilvl="4" w:tplc="FFFFFFFF" w:tentative="1">
      <w:start w:val="1"/>
      <w:numFmt w:val="lowerLetter"/>
      <w:lvlText w:val="%5."/>
      <w:lvlJc w:val="left"/>
      <w:pPr>
        <w:ind w:left="3238" w:hanging="360"/>
      </w:pPr>
    </w:lvl>
    <w:lvl w:ilvl="5" w:tplc="FFFFFFFF" w:tentative="1">
      <w:start w:val="1"/>
      <w:numFmt w:val="lowerRoman"/>
      <w:lvlText w:val="%6."/>
      <w:lvlJc w:val="right"/>
      <w:pPr>
        <w:ind w:left="3958" w:hanging="180"/>
      </w:pPr>
    </w:lvl>
    <w:lvl w:ilvl="6" w:tplc="FFFFFFFF" w:tentative="1">
      <w:start w:val="1"/>
      <w:numFmt w:val="decimal"/>
      <w:lvlText w:val="%7."/>
      <w:lvlJc w:val="left"/>
      <w:pPr>
        <w:ind w:left="4678" w:hanging="360"/>
      </w:pPr>
    </w:lvl>
    <w:lvl w:ilvl="7" w:tplc="FFFFFFFF" w:tentative="1">
      <w:start w:val="1"/>
      <w:numFmt w:val="lowerLetter"/>
      <w:lvlText w:val="%8."/>
      <w:lvlJc w:val="left"/>
      <w:pPr>
        <w:ind w:left="5398" w:hanging="360"/>
      </w:pPr>
    </w:lvl>
    <w:lvl w:ilvl="8" w:tplc="FFFFFFFF" w:tentative="1">
      <w:start w:val="1"/>
      <w:numFmt w:val="lowerRoman"/>
      <w:lvlText w:val="%9."/>
      <w:lvlJc w:val="right"/>
      <w:pPr>
        <w:ind w:left="6118" w:hanging="180"/>
      </w:pPr>
    </w:lvl>
  </w:abstractNum>
  <w:abstractNum w:abstractNumId="38" w15:restartNumberingAfterBreak="0">
    <w:nsid w:val="7B425656"/>
    <w:multiLevelType w:val="hybridMultilevel"/>
    <w:tmpl w:val="C0BEF118"/>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EFA0705"/>
    <w:multiLevelType w:val="hybridMultilevel"/>
    <w:tmpl w:val="023E7404"/>
    <w:lvl w:ilvl="0" w:tplc="57781F70">
      <w:start w:val="1"/>
      <w:numFmt w:val="bullet"/>
      <w:lvlText w:val="•"/>
      <w:lvlJc w:val="left"/>
      <w:pPr>
        <w:tabs>
          <w:tab w:val="num" w:pos="720"/>
        </w:tabs>
        <w:ind w:left="720" w:hanging="360"/>
      </w:pPr>
      <w:rPr>
        <w:rFonts w:ascii="Arial" w:hAnsi="Arial" w:hint="default"/>
      </w:rPr>
    </w:lvl>
    <w:lvl w:ilvl="1" w:tplc="91BC72F8" w:tentative="1">
      <w:start w:val="1"/>
      <w:numFmt w:val="bullet"/>
      <w:lvlText w:val="•"/>
      <w:lvlJc w:val="left"/>
      <w:pPr>
        <w:tabs>
          <w:tab w:val="num" w:pos="1440"/>
        </w:tabs>
        <w:ind w:left="1440" w:hanging="360"/>
      </w:pPr>
      <w:rPr>
        <w:rFonts w:ascii="Arial" w:hAnsi="Arial" w:hint="default"/>
      </w:rPr>
    </w:lvl>
    <w:lvl w:ilvl="2" w:tplc="34AAC64A" w:tentative="1">
      <w:start w:val="1"/>
      <w:numFmt w:val="bullet"/>
      <w:lvlText w:val="•"/>
      <w:lvlJc w:val="left"/>
      <w:pPr>
        <w:tabs>
          <w:tab w:val="num" w:pos="2160"/>
        </w:tabs>
        <w:ind w:left="2160" w:hanging="360"/>
      </w:pPr>
      <w:rPr>
        <w:rFonts w:ascii="Arial" w:hAnsi="Arial" w:hint="default"/>
      </w:rPr>
    </w:lvl>
    <w:lvl w:ilvl="3" w:tplc="AD3AF92C" w:tentative="1">
      <w:start w:val="1"/>
      <w:numFmt w:val="bullet"/>
      <w:lvlText w:val="•"/>
      <w:lvlJc w:val="left"/>
      <w:pPr>
        <w:tabs>
          <w:tab w:val="num" w:pos="2880"/>
        </w:tabs>
        <w:ind w:left="2880" w:hanging="360"/>
      </w:pPr>
      <w:rPr>
        <w:rFonts w:ascii="Arial" w:hAnsi="Arial" w:hint="default"/>
      </w:rPr>
    </w:lvl>
    <w:lvl w:ilvl="4" w:tplc="C77ED7AA" w:tentative="1">
      <w:start w:val="1"/>
      <w:numFmt w:val="bullet"/>
      <w:lvlText w:val="•"/>
      <w:lvlJc w:val="left"/>
      <w:pPr>
        <w:tabs>
          <w:tab w:val="num" w:pos="3600"/>
        </w:tabs>
        <w:ind w:left="3600" w:hanging="360"/>
      </w:pPr>
      <w:rPr>
        <w:rFonts w:ascii="Arial" w:hAnsi="Arial" w:hint="default"/>
      </w:rPr>
    </w:lvl>
    <w:lvl w:ilvl="5" w:tplc="264EC012" w:tentative="1">
      <w:start w:val="1"/>
      <w:numFmt w:val="bullet"/>
      <w:lvlText w:val="•"/>
      <w:lvlJc w:val="left"/>
      <w:pPr>
        <w:tabs>
          <w:tab w:val="num" w:pos="4320"/>
        </w:tabs>
        <w:ind w:left="4320" w:hanging="360"/>
      </w:pPr>
      <w:rPr>
        <w:rFonts w:ascii="Arial" w:hAnsi="Arial" w:hint="default"/>
      </w:rPr>
    </w:lvl>
    <w:lvl w:ilvl="6" w:tplc="2B20E756" w:tentative="1">
      <w:start w:val="1"/>
      <w:numFmt w:val="bullet"/>
      <w:lvlText w:val="•"/>
      <w:lvlJc w:val="left"/>
      <w:pPr>
        <w:tabs>
          <w:tab w:val="num" w:pos="5040"/>
        </w:tabs>
        <w:ind w:left="5040" w:hanging="360"/>
      </w:pPr>
      <w:rPr>
        <w:rFonts w:ascii="Arial" w:hAnsi="Arial" w:hint="default"/>
      </w:rPr>
    </w:lvl>
    <w:lvl w:ilvl="7" w:tplc="6A0A7388" w:tentative="1">
      <w:start w:val="1"/>
      <w:numFmt w:val="bullet"/>
      <w:lvlText w:val="•"/>
      <w:lvlJc w:val="left"/>
      <w:pPr>
        <w:tabs>
          <w:tab w:val="num" w:pos="5760"/>
        </w:tabs>
        <w:ind w:left="5760" w:hanging="360"/>
      </w:pPr>
      <w:rPr>
        <w:rFonts w:ascii="Arial" w:hAnsi="Arial" w:hint="default"/>
      </w:rPr>
    </w:lvl>
    <w:lvl w:ilvl="8" w:tplc="8D6C146C" w:tentative="1">
      <w:start w:val="1"/>
      <w:numFmt w:val="bullet"/>
      <w:lvlText w:val="•"/>
      <w:lvlJc w:val="left"/>
      <w:pPr>
        <w:tabs>
          <w:tab w:val="num" w:pos="6480"/>
        </w:tabs>
        <w:ind w:left="6480" w:hanging="360"/>
      </w:pPr>
      <w:rPr>
        <w:rFonts w:ascii="Arial" w:hAnsi="Arial" w:hint="default"/>
      </w:rPr>
    </w:lvl>
  </w:abstractNum>
  <w:num w:numId="1" w16cid:durableId="1483155908">
    <w:abstractNumId w:val="28"/>
  </w:num>
  <w:num w:numId="2" w16cid:durableId="773398574">
    <w:abstractNumId w:val="3"/>
  </w:num>
  <w:num w:numId="3" w16cid:durableId="1321343906">
    <w:abstractNumId w:val="31"/>
  </w:num>
  <w:num w:numId="4" w16cid:durableId="238172192">
    <w:abstractNumId w:val="35"/>
  </w:num>
  <w:num w:numId="5" w16cid:durableId="315500064">
    <w:abstractNumId w:val="6"/>
  </w:num>
  <w:num w:numId="6" w16cid:durableId="746346465">
    <w:abstractNumId w:val="23"/>
  </w:num>
  <w:num w:numId="7" w16cid:durableId="1367288050">
    <w:abstractNumId w:val="32"/>
  </w:num>
  <w:num w:numId="8" w16cid:durableId="1351222802">
    <w:abstractNumId w:val="33"/>
  </w:num>
  <w:num w:numId="9" w16cid:durableId="138813318">
    <w:abstractNumId w:val="38"/>
  </w:num>
  <w:num w:numId="10" w16cid:durableId="1879583860">
    <w:abstractNumId w:val="15"/>
  </w:num>
  <w:num w:numId="11" w16cid:durableId="2033609533">
    <w:abstractNumId w:val="8"/>
  </w:num>
  <w:num w:numId="12" w16cid:durableId="144974277">
    <w:abstractNumId w:val="26"/>
  </w:num>
  <w:num w:numId="13" w16cid:durableId="708189275">
    <w:abstractNumId w:val="5"/>
  </w:num>
  <w:num w:numId="14" w16cid:durableId="1178076050">
    <w:abstractNumId w:val="34"/>
  </w:num>
  <w:num w:numId="15" w16cid:durableId="36317576">
    <w:abstractNumId w:val="0"/>
  </w:num>
  <w:num w:numId="16" w16cid:durableId="1362514257">
    <w:abstractNumId w:val="7"/>
  </w:num>
  <w:num w:numId="17" w16cid:durableId="704254050">
    <w:abstractNumId w:val="10"/>
  </w:num>
  <w:num w:numId="18" w16cid:durableId="1596942009">
    <w:abstractNumId w:val="21"/>
  </w:num>
  <w:num w:numId="19" w16cid:durableId="1336415413">
    <w:abstractNumId w:val="11"/>
  </w:num>
  <w:num w:numId="20" w16cid:durableId="1407415846">
    <w:abstractNumId w:val="2"/>
  </w:num>
  <w:num w:numId="21" w16cid:durableId="1341392750">
    <w:abstractNumId w:val="12"/>
  </w:num>
  <w:num w:numId="22" w16cid:durableId="1278221575">
    <w:abstractNumId w:val="29"/>
  </w:num>
  <w:num w:numId="23" w16cid:durableId="2126532072">
    <w:abstractNumId w:val="16"/>
  </w:num>
  <w:num w:numId="24" w16cid:durableId="1066297628">
    <w:abstractNumId w:val="39"/>
  </w:num>
  <w:num w:numId="25" w16cid:durableId="590628198">
    <w:abstractNumId w:val="13"/>
  </w:num>
  <w:num w:numId="26" w16cid:durableId="1846363218">
    <w:abstractNumId w:val="37"/>
  </w:num>
  <w:num w:numId="27" w16cid:durableId="969628146">
    <w:abstractNumId w:val="24"/>
  </w:num>
  <w:num w:numId="28" w16cid:durableId="70084581">
    <w:abstractNumId w:val="9"/>
  </w:num>
  <w:num w:numId="29" w16cid:durableId="1257442721">
    <w:abstractNumId w:val="22"/>
  </w:num>
  <w:num w:numId="30" w16cid:durableId="220871155">
    <w:abstractNumId w:val="18"/>
  </w:num>
  <w:num w:numId="31" w16cid:durableId="1759448941">
    <w:abstractNumId w:val="17"/>
  </w:num>
  <w:num w:numId="32" w16cid:durableId="9375429">
    <w:abstractNumId w:val="25"/>
  </w:num>
  <w:num w:numId="33" w16cid:durableId="92366009">
    <w:abstractNumId w:val="30"/>
  </w:num>
  <w:num w:numId="34" w16cid:durableId="454910320">
    <w:abstractNumId w:val="31"/>
  </w:num>
  <w:num w:numId="35" w16cid:durableId="1733428953">
    <w:abstractNumId w:val="31"/>
  </w:num>
  <w:num w:numId="36" w16cid:durableId="155190007">
    <w:abstractNumId w:val="31"/>
  </w:num>
  <w:num w:numId="37" w16cid:durableId="2053571673">
    <w:abstractNumId w:val="31"/>
  </w:num>
  <w:num w:numId="38" w16cid:durableId="1951082110">
    <w:abstractNumId w:val="27"/>
  </w:num>
  <w:num w:numId="39" w16cid:durableId="909851555">
    <w:abstractNumId w:val="1"/>
  </w:num>
  <w:num w:numId="40" w16cid:durableId="1907951528">
    <w:abstractNumId w:val="31"/>
  </w:num>
  <w:num w:numId="41" w16cid:durableId="1902401618">
    <w:abstractNumId w:val="31"/>
  </w:num>
  <w:num w:numId="42" w16cid:durableId="817724108">
    <w:abstractNumId w:val="31"/>
  </w:num>
  <w:num w:numId="43" w16cid:durableId="1632244790">
    <w:abstractNumId w:val="31"/>
  </w:num>
  <w:num w:numId="44" w16cid:durableId="1367674778">
    <w:abstractNumId w:val="31"/>
  </w:num>
  <w:num w:numId="45" w16cid:durableId="190269892">
    <w:abstractNumId w:val="31"/>
  </w:num>
  <w:num w:numId="46" w16cid:durableId="1249270039">
    <w:abstractNumId w:val="31"/>
  </w:num>
  <w:num w:numId="47" w16cid:durableId="433794894">
    <w:abstractNumId w:val="36"/>
  </w:num>
  <w:num w:numId="48" w16cid:durableId="1748578317">
    <w:abstractNumId w:val="14"/>
  </w:num>
  <w:num w:numId="49" w16cid:durableId="28457039">
    <w:abstractNumId w:val="20"/>
  </w:num>
  <w:num w:numId="50" w16cid:durableId="302664106">
    <w:abstractNumId w:val="19"/>
  </w:num>
  <w:num w:numId="51" w16cid:durableId="2107070193">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C43"/>
    <w:rsid w:val="0000232F"/>
    <w:rsid w:val="000042E6"/>
    <w:rsid w:val="000059F2"/>
    <w:rsid w:val="00005D3A"/>
    <w:rsid w:val="00006DE0"/>
    <w:rsid w:val="00010C72"/>
    <w:rsid w:val="0001204E"/>
    <w:rsid w:val="000128BF"/>
    <w:rsid w:val="00016871"/>
    <w:rsid w:val="00016B96"/>
    <w:rsid w:val="00020C4F"/>
    <w:rsid w:val="000262BC"/>
    <w:rsid w:val="00026CEC"/>
    <w:rsid w:val="00026EC4"/>
    <w:rsid w:val="000275C4"/>
    <w:rsid w:val="00032153"/>
    <w:rsid w:val="0003279D"/>
    <w:rsid w:val="00035776"/>
    <w:rsid w:val="000367DC"/>
    <w:rsid w:val="00036D7A"/>
    <w:rsid w:val="000370EA"/>
    <w:rsid w:val="00037FDF"/>
    <w:rsid w:val="00041939"/>
    <w:rsid w:val="00044179"/>
    <w:rsid w:val="00044E1C"/>
    <w:rsid w:val="00047596"/>
    <w:rsid w:val="000479BB"/>
    <w:rsid w:val="00047EC9"/>
    <w:rsid w:val="00050BE3"/>
    <w:rsid w:val="00050E08"/>
    <w:rsid w:val="00052650"/>
    <w:rsid w:val="00054B7B"/>
    <w:rsid w:val="000612E7"/>
    <w:rsid w:val="00061523"/>
    <w:rsid w:val="00061D6A"/>
    <w:rsid w:val="00062CF6"/>
    <w:rsid w:val="00063ED0"/>
    <w:rsid w:val="00065CB1"/>
    <w:rsid w:val="00066B35"/>
    <w:rsid w:val="00067885"/>
    <w:rsid w:val="00070FF3"/>
    <w:rsid w:val="00072259"/>
    <w:rsid w:val="000722B6"/>
    <w:rsid w:val="00072E8B"/>
    <w:rsid w:val="0007321A"/>
    <w:rsid w:val="000737EC"/>
    <w:rsid w:val="00074856"/>
    <w:rsid w:val="00075D33"/>
    <w:rsid w:val="0007793A"/>
    <w:rsid w:val="000803B0"/>
    <w:rsid w:val="0008043B"/>
    <w:rsid w:val="000804D7"/>
    <w:rsid w:val="0008057D"/>
    <w:rsid w:val="000805C6"/>
    <w:rsid w:val="00081128"/>
    <w:rsid w:val="000843D1"/>
    <w:rsid w:val="00085436"/>
    <w:rsid w:val="00085985"/>
    <w:rsid w:val="00086CCC"/>
    <w:rsid w:val="00091664"/>
    <w:rsid w:val="00092E40"/>
    <w:rsid w:val="00093E2E"/>
    <w:rsid w:val="0009404B"/>
    <w:rsid w:val="000973B6"/>
    <w:rsid w:val="000A2711"/>
    <w:rsid w:val="000A3C60"/>
    <w:rsid w:val="000A5FED"/>
    <w:rsid w:val="000A6C3B"/>
    <w:rsid w:val="000A77A7"/>
    <w:rsid w:val="000B1781"/>
    <w:rsid w:val="000B180A"/>
    <w:rsid w:val="000B3C0C"/>
    <w:rsid w:val="000B4A51"/>
    <w:rsid w:val="000B4D2F"/>
    <w:rsid w:val="000B5B6C"/>
    <w:rsid w:val="000B6994"/>
    <w:rsid w:val="000B6B7A"/>
    <w:rsid w:val="000B7F33"/>
    <w:rsid w:val="000C1BFD"/>
    <w:rsid w:val="000C1D95"/>
    <w:rsid w:val="000C43EE"/>
    <w:rsid w:val="000C4B54"/>
    <w:rsid w:val="000C4C5B"/>
    <w:rsid w:val="000C4E25"/>
    <w:rsid w:val="000C6795"/>
    <w:rsid w:val="000D2447"/>
    <w:rsid w:val="000D530A"/>
    <w:rsid w:val="000D53D7"/>
    <w:rsid w:val="000D6049"/>
    <w:rsid w:val="000E0C06"/>
    <w:rsid w:val="000E23BC"/>
    <w:rsid w:val="000E3919"/>
    <w:rsid w:val="000E44AA"/>
    <w:rsid w:val="000E6176"/>
    <w:rsid w:val="000E66F2"/>
    <w:rsid w:val="000E6723"/>
    <w:rsid w:val="000E6F60"/>
    <w:rsid w:val="000F0BE7"/>
    <w:rsid w:val="000F2322"/>
    <w:rsid w:val="000F2756"/>
    <w:rsid w:val="000F3312"/>
    <w:rsid w:val="000F3951"/>
    <w:rsid w:val="000F3E7A"/>
    <w:rsid w:val="000F55A0"/>
    <w:rsid w:val="000F569A"/>
    <w:rsid w:val="001001EC"/>
    <w:rsid w:val="001015AB"/>
    <w:rsid w:val="001023E2"/>
    <w:rsid w:val="00102B7D"/>
    <w:rsid w:val="00103890"/>
    <w:rsid w:val="001046B0"/>
    <w:rsid w:val="00112AB1"/>
    <w:rsid w:val="00114AAC"/>
    <w:rsid w:val="00115A42"/>
    <w:rsid w:val="00115E53"/>
    <w:rsid w:val="001174FA"/>
    <w:rsid w:val="00117EB3"/>
    <w:rsid w:val="00120492"/>
    <w:rsid w:val="00125BDE"/>
    <w:rsid w:val="0012722F"/>
    <w:rsid w:val="0013088E"/>
    <w:rsid w:val="001316BC"/>
    <w:rsid w:val="00132DFF"/>
    <w:rsid w:val="00133DD8"/>
    <w:rsid w:val="00133E1A"/>
    <w:rsid w:val="001360C4"/>
    <w:rsid w:val="00136B35"/>
    <w:rsid w:val="0014377D"/>
    <w:rsid w:val="00143B11"/>
    <w:rsid w:val="00144D2D"/>
    <w:rsid w:val="0014502E"/>
    <w:rsid w:val="001462FD"/>
    <w:rsid w:val="00150F7C"/>
    <w:rsid w:val="001518DE"/>
    <w:rsid w:val="00151FD7"/>
    <w:rsid w:val="00154A8D"/>
    <w:rsid w:val="00155D87"/>
    <w:rsid w:val="00157082"/>
    <w:rsid w:val="00160B8C"/>
    <w:rsid w:val="00161135"/>
    <w:rsid w:val="00162533"/>
    <w:rsid w:val="00165DFD"/>
    <w:rsid w:val="00167446"/>
    <w:rsid w:val="00170CCE"/>
    <w:rsid w:val="0017174D"/>
    <w:rsid w:val="00174A5A"/>
    <w:rsid w:val="00175225"/>
    <w:rsid w:val="001753A6"/>
    <w:rsid w:val="00176001"/>
    <w:rsid w:val="00176AB6"/>
    <w:rsid w:val="00177F2F"/>
    <w:rsid w:val="00177FC4"/>
    <w:rsid w:val="001853FE"/>
    <w:rsid w:val="001855B9"/>
    <w:rsid w:val="0018694D"/>
    <w:rsid w:val="0019269C"/>
    <w:rsid w:val="00192D15"/>
    <w:rsid w:val="00193878"/>
    <w:rsid w:val="0019578D"/>
    <w:rsid w:val="00195FFB"/>
    <w:rsid w:val="0019648B"/>
    <w:rsid w:val="00196B46"/>
    <w:rsid w:val="00196BD8"/>
    <w:rsid w:val="00197AA9"/>
    <w:rsid w:val="00197B84"/>
    <w:rsid w:val="001A03C9"/>
    <w:rsid w:val="001A0DC2"/>
    <w:rsid w:val="001A2E36"/>
    <w:rsid w:val="001A447D"/>
    <w:rsid w:val="001A53E6"/>
    <w:rsid w:val="001A79CC"/>
    <w:rsid w:val="001B07BC"/>
    <w:rsid w:val="001B0DF3"/>
    <w:rsid w:val="001B108A"/>
    <w:rsid w:val="001B20F4"/>
    <w:rsid w:val="001B2D8A"/>
    <w:rsid w:val="001B3067"/>
    <w:rsid w:val="001B4233"/>
    <w:rsid w:val="001B55AA"/>
    <w:rsid w:val="001B583B"/>
    <w:rsid w:val="001B619B"/>
    <w:rsid w:val="001B70CE"/>
    <w:rsid w:val="001C01E9"/>
    <w:rsid w:val="001C0209"/>
    <w:rsid w:val="001C0DCA"/>
    <w:rsid w:val="001C1AB8"/>
    <w:rsid w:val="001C2229"/>
    <w:rsid w:val="001C3C18"/>
    <w:rsid w:val="001C44BF"/>
    <w:rsid w:val="001C4D07"/>
    <w:rsid w:val="001C5812"/>
    <w:rsid w:val="001C692F"/>
    <w:rsid w:val="001D1F6F"/>
    <w:rsid w:val="001D3A20"/>
    <w:rsid w:val="001D3FEC"/>
    <w:rsid w:val="001E0563"/>
    <w:rsid w:val="001E1B9F"/>
    <w:rsid w:val="001E3B51"/>
    <w:rsid w:val="001E76BA"/>
    <w:rsid w:val="001E76C8"/>
    <w:rsid w:val="001E7701"/>
    <w:rsid w:val="001F1435"/>
    <w:rsid w:val="001F169F"/>
    <w:rsid w:val="001F1783"/>
    <w:rsid w:val="001F2447"/>
    <w:rsid w:val="001F258C"/>
    <w:rsid w:val="001F2F7F"/>
    <w:rsid w:val="001F3C8F"/>
    <w:rsid w:val="001F3E1B"/>
    <w:rsid w:val="001F3E3B"/>
    <w:rsid w:val="001F4186"/>
    <w:rsid w:val="001F428E"/>
    <w:rsid w:val="001F7666"/>
    <w:rsid w:val="0020144D"/>
    <w:rsid w:val="0020314E"/>
    <w:rsid w:val="00204217"/>
    <w:rsid w:val="002053E8"/>
    <w:rsid w:val="0020691B"/>
    <w:rsid w:val="00207D84"/>
    <w:rsid w:val="00213AF8"/>
    <w:rsid w:val="00214590"/>
    <w:rsid w:val="002163EF"/>
    <w:rsid w:val="00216EA0"/>
    <w:rsid w:val="002171DB"/>
    <w:rsid w:val="00217248"/>
    <w:rsid w:val="002204D3"/>
    <w:rsid w:val="002210A3"/>
    <w:rsid w:val="00221652"/>
    <w:rsid w:val="00221F97"/>
    <w:rsid w:val="00226428"/>
    <w:rsid w:val="00232C8C"/>
    <w:rsid w:val="00232D20"/>
    <w:rsid w:val="0023370B"/>
    <w:rsid w:val="00234A6C"/>
    <w:rsid w:val="00235880"/>
    <w:rsid w:val="00235AC2"/>
    <w:rsid w:val="00237FA2"/>
    <w:rsid w:val="00237FEE"/>
    <w:rsid w:val="00243173"/>
    <w:rsid w:val="00243AC2"/>
    <w:rsid w:val="00245728"/>
    <w:rsid w:val="00247B3D"/>
    <w:rsid w:val="00251848"/>
    <w:rsid w:val="00252ABF"/>
    <w:rsid w:val="00252B67"/>
    <w:rsid w:val="00253FAA"/>
    <w:rsid w:val="0025458C"/>
    <w:rsid w:val="00256117"/>
    <w:rsid w:val="002562CB"/>
    <w:rsid w:val="00260E36"/>
    <w:rsid w:val="00264413"/>
    <w:rsid w:val="002666C8"/>
    <w:rsid w:val="00266718"/>
    <w:rsid w:val="002672D2"/>
    <w:rsid w:val="00272836"/>
    <w:rsid w:val="00273D82"/>
    <w:rsid w:val="00274DB9"/>
    <w:rsid w:val="00275544"/>
    <w:rsid w:val="00281138"/>
    <w:rsid w:val="00281C89"/>
    <w:rsid w:val="00282958"/>
    <w:rsid w:val="00283474"/>
    <w:rsid w:val="002841B4"/>
    <w:rsid w:val="00284ECD"/>
    <w:rsid w:val="00285B26"/>
    <w:rsid w:val="00286401"/>
    <w:rsid w:val="0028643C"/>
    <w:rsid w:val="002867B5"/>
    <w:rsid w:val="0028758E"/>
    <w:rsid w:val="00287E22"/>
    <w:rsid w:val="00292802"/>
    <w:rsid w:val="00296C7C"/>
    <w:rsid w:val="002A1978"/>
    <w:rsid w:val="002A39D1"/>
    <w:rsid w:val="002A3C68"/>
    <w:rsid w:val="002A5D3A"/>
    <w:rsid w:val="002A6D6B"/>
    <w:rsid w:val="002B03B9"/>
    <w:rsid w:val="002B05B6"/>
    <w:rsid w:val="002B4426"/>
    <w:rsid w:val="002B48CA"/>
    <w:rsid w:val="002B4B2B"/>
    <w:rsid w:val="002B5887"/>
    <w:rsid w:val="002B5A68"/>
    <w:rsid w:val="002B5AF7"/>
    <w:rsid w:val="002B66BB"/>
    <w:rsid w:val="002B6BDA"/>
    <w:rsid w:val="002B7493"/>
    <w:rsid w:val="002C0639"/>
    <w:rsid w:val="002C09BB"/>
    <w:rsid w:val="002C20C3"/>
    <w:rsid w:val="002C20FC"/>
    <w:rsid w:val="002C22B2"/>
    <w:rsid w:val="002C2945"/>
    <w:rsid w:val="002C4DA2"/>
    <w:rsid w:val="002C5A93"/>
    <w:rsid w:val="002C6127"/>
    <w:rsid w:val="002C6F52"/>
    <w:rsid w:val="002C7661"/>
    <w:rsid w:val="002C7BA7"/>
    <w:rsid w:val="002D0F7A"/>
    <w:rsid w:val="002D2BA2"/>
    <w:rsid w:val="002D5719"/>
    <w:rsid w:val="002D5971"/>
    <w:rsid w:val="002D5BA0"/>
    <w:rsid w:val="002D7A64"/>
    <w:rsid w:val="002D7B3D"/>
    <w:rsid w:val="002E0076"/>
    <w:rsid w:val="002E013E"/>
    <w:rsid w:val="002E0611"/>
    <w:rsid w:val="002E0FDE"/>
    <w:rsid w:val="002E2626"/>
    <w:rsid w:val="002E4748"/>
    <w:rsid w:val="002E5682"/>
    <w:rsid w:val="002F174E"/>
    <w:rsid w:val="002F289E"/>
    <w:rsid w:val="002F4357"/>
    <w:rsid w:val="002F4A8A"/>
    <w:rsid w:val="002F6868"/>
    <w:rsid w:val="002F7DBA"/>
    <w:rsid w:val="003002D9"/>
    <w:rsid w:val="00303C1C"/>
    <w:rsid w:val="00305828"/>
    <w:rsid w:val="00305A82"/>
    <w:rsid w:val="0030639B"/>
    <w:rsid w:val="00310509"/>
    <w:rsid w:val="003128E3"/>
    <w:rsid w:val="00312AC3"/>
    <w:rsid w:val="00314D45"/>
    <w:rsid w:val="003151D3"/>
    <w:rsid w:val="00316D0F"/>
    <w:rsid w:val="003202BA"/>
    <w:rsid w:val="003202DC"/>
    <w:rsid w:val="00320B2F"/>
    <w:rsid w:val="00320F6C"/>
    <w:rsid w:val="00321AAA"/>
    <w:rsid w:val="00321B2E"/>
    <w:rsid w:val="0032375A"/>
    <w:rsid w:val="00324187"/>
    <w:rsid w:val="00324E71"/>
    <w:rsid w:val="0032720D"/>
    <w:rsid w:val="00332158"/>
    <w:rsid w:val="003337BE"/>
    <w:rsid w:val="003360A6"/>
    <w:rsid w:val="00340370"/>
    <w:rsid w:val="00340C6B"/>
    <w:rsid w:val="00341237"/>
    <w:rsid w:val="00341637"/>
    <w:rsid w:val="00341AB3"/>
    <w:rsid w:val="00342A82"/>
    <w:rsid w:val="0034425F"/>
    <w:rsid w:val="00344D7A"/>
    <w:rsid w:val="0034791F"/>
    <w:rsid w:val="00350867"/>
    <w:rsid w:val="003523C0"/>
    <w:rsid w:val="00352949"/>
    <w:rsid w:val="0035458A"/>
    <w:rsid w:val="003545F1"/>
    <w:rsid w:val="00355786"/>
    <w:rsid w:val="00357E48"/>
    <w:rsid w:val="0036050B"/>
    <w:rsid w:val="0036089D"/>
    <w:rsid w:val="00360D47"/>
    <w:rsid w:val="00361DD6"/>
    <w:rsid w:val="003622AC"/>
    <w:rsid w:val="0036307F"/>
    <w:rsid w:val="00363B88"/>
    <w:rsid w:val="00365080"/>
    <w:rsid w:val="003656B9"/>
    <w:rsid w:val="00370CAB"/>
    <w:rsid w:val="00371F18"/>
    <w:rsid w:val="00373BBF"/>
    <w:rsid w:val="00374256"/>
    <w:rsid w:val="00374936"/>
    <w:rsid w:val="00374ED7"/>
    <w:rsid w:val="0037585A"/>
    <w:rsid w:val="003763B8"/>
    <w:rsid w:val="00377CB1"/>
    <w:rsid w:val="0038092A"/>
    <w:rsid w:val="003809BF"/>
    <w:rsid w:val="00380C04"/>
    <w:rsid w:val="00381067"/>
    <w:rsid w:val="00383F03"/>
    <w:rsid w:val="00385909"/>
    <w:rsid w:val="00385985"/>
    <w:rsid w:val="00386484"/>
    <w:rsid w:val="00390D65"/>
    <w:rsid w:val="00391F02"/>
    <w:rsid w:val="003938FA"/>
    <w:rsid w:val="00394097"/>
    <w:rsid w:val="0039559C"/>
    <w:rsid w:val="003A20F8"/>
    <w:rsid w:val="003A4AC4"/>
    <w:rsid w:val="003A5F3D"/>
    <w:rsid w:val="003A69B0"/>
    <w:rsid w:val="003B2AB0"/>
    <w:rsid w:val="003B4354"/>
    <w:rsid w:val="003B575F"/>
    <w:rsid w:val="003C4F95"/>
    <w:rsid w:val="003D0871"/>
    <w:rsid w:val="003D0EBC"/>
    <w:rsid w:val="003D1728"/>
    <w:rsid w:val="003D37B1"/>
    <w:rsid w:val="003D4E6C"/>
    <w:rsid w:val="003D6058"/>
    <w:rsid w:val="003D7362"/>
    <w:rsid w:val="003D7AF8"/>
    <w:rsid w:val="003E56C8"/>
    <w:rsid w:val="003E5FB0"/>
    <w:rsid w:val="003E7062"/>
    <w:rsid w:val="003F0007"/>
    <w:rsid w:val="003F23F8"/>
    <w:rsid w:val="003F2D19"/>
    <w:rsid w:val="004001DB"/>
    <w:rsid w:val="004009CA"/>
    <w:rsid w:val="004028D4"/>
    <w:rsid w:val="00404C5A"/>
    <w:rsid w:val="004063E4"/>
    <w:rsid w:val="00407841"/>
    <w:rsid w:val="00410182"/>
    <w:rsid w:val="00411D7A"/>
    <w:rsid w:val="00412602"/>
    <w:rsid w:val="0041297B"/>
    <w:rsid w:val="0041371E"/>
    <w:rsid w:val="00413E6F"/>
    <w:rsid w:val="0041456D"/>
    <w:rsid w:val="0041474F"/>
    <w:rsid w:val="00417578"/>
    <w:rsid w:val="004175F9"/>
    <w:rsid w:val="004177A5"/>
    <w:rsid w:val="004205F3"/>
    <w:rsid w:val="00420D39"/>
    <w:rsid w:val="004249BC"/>
    <w:rsid w:val="00427121"/>
    <w:rsid w:val="00431957"/>
    <w:rsid w:val="004334CC"/>
    <w:rsid w:val="004335F8"/>
    <w:rsid w:val="004337A3"/>
    <w:rsid w:val="00435DD2"/>
    <w:rsid w:val="004361A7"/>
    <w:rsid w:val="00437EF9"/>
    <w:rsid w:val="004419C7"/>
    <w:rsid w:val="00441D3B"/>
    <w:rsid w:val="004424C5"/>
    <w:rsid w:val="00443015"/>
    <w:rsid w:val="0044329B"/>
    <w:rsid w:val="004445E4"/>
    <w:rsid w:val="00444CC8"/>
    <w:rsid w:val="0044575E"/>
    <w:rsid w:val="00446278"/>
    <w:rsid w:val="00446558"/>
    <w:rsid w:val="0045231C"/>
    <w:rsid w:val="00454E4A"/>
    <w:rsid w:val="0045519B"/>
    <w:rsid w:val="004572AA"/>
    <w:rsid w:val="0045731B"/>
    <w:rsid w:val="00457BC1"/>
    <w:rsid w:val="0046087D"/>
    <w:rsid w:val="004612A1"/>
    <w:rsid w:val="00462246"/>
    <w:rsid w:val="00462604"/>
    <w:rsid w:val="0046333A"/>
    <w:rsid w:val="004638BB"/>
    <w:rsid w:val="00463A98"/>
    <w:rsid w:val="00463F4C"/>
    <w:rsid w:val="00464033"/>
    <w:rsid w:val="00464371"/>
    <w:rsid w:val="00464623"/>
    <w:rsid w:val="0046470D"/>
    <w:rsid w:val="00465EE3"/>
    <w:rsid w:val="00467A08"/>
    <w:rsid w:val="00467B15"/>
    <w:rsid w:val="00467B59"/>
    <w:rsid w:val="00470F9D"/>
    <w:rsid w:val="0047124E"/>
    <w:rsid w:val="004725EE"/>
    <w:rsid w:val="004727F0"/>
    <w:rsid w:val="00473AE8"/>
    <w:rsid w:val="00475B21"/>
    <w:rsid w:val="0047648C"/>
    <w:rsid w:val="00476755"/>
    <w:rsid w:val="00477AAD"/>
    <w:rsid w:val="00481CEC"/>
    <w:rsid w:val="00482DBE"/>
    <w:rsid w:val="00483152"/>
    <w:rsid w:val="0048344F"/>
    <w:rsid w:val="0048394F"/>
    <w:rsid w:val="004848B7"/>
    <w:rsid w:val="004858F0"/>
    <w:rsid w:val="00486B95"/>
    <w:rsid w:val="0048733D"/>
    <w:rsid w:val="00490C39"/>
    <w:rsid w:val="00491062"/>
    <w:rsid w:val="0049152C"/>
    <w:rsid w:val="00491943"/>
    <w:rsid w:val="004972E8"/>
    <w:rsid w:val="004A0D64"/>
    <w:rsid w:val="004A12E2"/>
    <w:rsid w:val="004A1983"/>
    <w:rsid w:val="004A34BB"/>
    <w:rsid w:val="004A6B67"/>
    <w:rsid w:val="004A73D9"/>
    <w:rsid w:val="004B3749"/>
    <w:rsid w:val="004B433A"/>
    <w:rsid w:val="004B4962"/>
    <w:rsid w:val="004B6E92"/>
    <w:rsid w:val="004B7407"/>
    <w:rsid w:val="004B77C7"/>
    <w:rsid w:val="004C0EB6"/>
    <w:rsid w:val="004C0ED6"/>
    <w:rsid w:val="004C102B"/>
    <w:rsid w:val="004C177B"/>
    <w:rsid w:val="004C2A3A"/>
    <w:rsid w:val="004C30EA"/>
    <w:rsid w:val="004C3546"/>
    <w:rsid w:val="004C37A1"/>
    <w:rsid w:val="004C4175"/>
    <w:rsid w:val="004C4FDC"/>
    <w:rsid w:val="004C64FE"/>
    <w:rsid w:val="004D07F9"/>
    <w:rsid w:val="004D0C64"/>
    <w:rsid w:val="004E11B1"/>
    <w:rsid w:val="004E14BD"/>
    <w:rsid w:val="004E1A87"/>
    <w:rsid w:val="004E3722"/>
    <w:rsid w:val="004F094B"/>
    <w:rsid w:val="004F3B2E"/>
    <w:rsid w:val="004F4139"/>
    <w:rsid w:val="004F4843"/>
    <w:rsid w:val="004F49FB"/>
    <w:rsid w:val="004F4D64"/>
    <w:rsid w:val="004F76AE"/>
    <w:rsid w:val="005001B1"/>
    <w:rsid w:val="0051015D"/>
    <w:rsid w:val="00510C1B"/>
    <w:rsid w:val="00514C01"/>
    <w:rsid w:val="00514FC5"/>
    <w:rsid w:val="00516E79"/>
    <w:rsid w:val="00520356"/>
    <w:rsid w:val="005221F9"/>
    <w:rsid w:val="0052344B"/>
    <w:rsid w:val="00524B33"/>
    <w:rsid w:val="00526B34"/>
    <w:rsid w:val="005278C4"/>
    <w:rsid w:val="00531241"/>
    <w:rsid w:val="00532173"/>
    <w:rsid w:val="00532F70"/>
    <w:rsid w:val="00535752"/>
    <w:rsid w:val="0054094B"/>
    <w:rsid w:val="005418A1"/>
    <w:rsid w:val="00542A7A"/>
    <w:rsid w:val="005432CF"/>
    <w:rsid w:val="00543BBF"/>
    <w:rsid w:val="005440AD"/>
    <w:rsid w:val="00544124"/>
    <w:rsid w:val="00544466"/>
    <w:rsid w:val="00545051"/>
    <w:rsid w:val="0054531D"/>
    <w:rsid w:val="00550194"/>
    <w:rsid w:val="00551B34"/>
    <w:rsid w:val="00553E81"/>
    <w:rsid w:val="005550C0"/>
    <w:rsid w:val="00557F69"/>
    <w:rsid w:val="00561711"/>
    <w:rsid w:val="00562B38"/>
    <w:rsid w:val="00562F86"/>
    <w:rsid w:val="00563CC5"/>
    <w:rsid w:val="005673A1"/>
    <w:rsid w:val="0056778B"/>
    <w:rsid w:val="00570039"/>
    <w:rsid w:val="00571F99"/>
    <w:rsid w:val="0057266D"/>
    <w:rsid w:val="00572F62"/>
    <w:rsid w:val="00575627"/>
    <w:rsid w:val="0057565D"/>
    <w:rsid w:val="005806C7"/>
    <w:rsid w:val="00580D22"/>
    <w:rsid w:val="0058194F"/>
    <w:rsid w:val="0058221B"/>
    <w:rsid w:val="00582CA4"/>
    <w:rsid w:val="00583E73"/>
    <w:rsid w:val="0059047C"/>
    <w:rsid w:val="00592C2C"/>
    <w:rsid w:val="00592CD3"/>
    <w:rsid w:val="00592DDB"/>
    <w:rsid w:val="005933EE"/>
    <w:rsid w:val="00595070"/>
    <w:rsid w:val="00597B4B"/>
    <w:rsid w:val="00597FC4"/>
    <w:rsid w:val="005A03E8"/>
    <w:rsid w:val="005A2299"/>
    <w:rsid w:val="005A261B"/>
    <w:rsid w:val="005A2A33"/>
    <w:rsid w:val="005A2D32"/>
    <w:rsid w:val="005A35AA"/>
    <w:rsid w:val="005A41C2"/>
    <w:rsid w:val="005A5A61"/>
    <w:rsid w:val="005A5F60"/>
    <w:rsid w:val="005A6BE2"/>
    <w:rsid w:val="005A6E23"/>
    <w:rsid w:val="005B1B4E"/>
    <w:rsid w:val="005B2B94"/>
    <w:rsid w:val="005B2DD4"/>
    <w:rsid w:val="005B31C1"/>
    <w:rsid w:val="005B39F1"/>
    <w:rsid w:val="005B4AEA"/>
    <w:rsid w:val="005B592D"/>
    <w:rsid w:val="005B5D9E"/>
    <w:rsid w:val="005C051B"/>
    <w:rsid w:val="005C24D1"/>
    <w:rsid w:val="005C34F2"/>
    <w:rsid w:val="005C353F"/>
    <w:rsid w:val="005C686E"/>
    <w:rsid w:val="005C6B00"/>
    <w:rsid w:val="005C721B"/>
    <w:rsid w:val="005D1420"/>
    <w:rsid w:val="005D14A7"/>
    <w:rsid w:val="005D2BF1"/>
    <w:rsid w:val="005D4BCB"/>
    <w:rsid w:val="005D5A3B"/>
    <w:rsid w:val="005D5F8B"/>
    <w:rsid w:val="005D7A60"/>
    <w:rsid w:val="005E0A45"/>
    <w:rsid w:val="005E0CFE"/>
    <w:rsid w:val="005E107F"/>
    <w:rsid w:val="005E1215"/>
    <w:rsid w:val="005E2901"/>
    <w:rsid w:val="005E2C91"/>
    <w:rsid w:val="005E2D8D"/>
    <w:rsid w:val="005E4C08"/>
    <w:rsid w:val="005E5E6F"/>
    <w:rsid w:val="005E68DE"/>
    <w:rsid w:val="005E79FB"/>
    <w:rsid w:val="005F22F0"/>
    <w:rsid w:val="005F5D2C"/>
    <w:rsid w:val="005F6CCF"/>
    <w:rsid w:val="005F7007"/>
    <w:rsid w:val="00600059"/>
    <w:rsid w:val="006025CF"/>
    <w:rsid w:val="0060277C"/>
    <w:rsid w:val="00605106"/>
    <w:rsid w:val="00605552"/>
    <w:rsid w:val="00607C36"/>
    <w:rsid w:val="0061053C"/>
    <w:rsid w:val="00610ADF"/>
    <w:rsid w:val="00610E99"/>
    <w:rsid w:val="00611147"/>
    <w:rsid w:val="006124D4"/>
    <w:rsid w:val="00613AC3"/>
    <w:rsid w:val="00613B98"/>
    <w:rsid w:val="00614F22"/>
    <w:rsid w:val="00616282"/>
    <w:rsid w:val="00616EF0"/>
    <w:rsid w:val="0061766C"/>
    <w:rsid w:val="00617703"/>
    <w:rsid w:val="00617EB6"/>
    <w:rsid w:val="00620ED7"/>
    <w:rsid w:val="006223E8"/>
    <w:rsid w:val="00624421"/>
    <w:rsid w:val="00625EE6"/>
    <w:rsid w:val="00634750"/>
    <w:rsid w:val="00634B23"/>
    <w:rsid w:val="00634C84"/>
    <w:rsid w:val="00636BBF"/>
    <w:rsid w:val="00637F58"/>
    <w:rsid w:val="006410B1"/>
    <w:rsid w:val="0064421B"/>
    <w:rsid w:val="00644DF6"/>
    <w:rsid w:val="00645EBE"/>
    <w:rsid w:val="00645ED9"/>
    <w:rsid w:val="0064716C"/>
    <w:rsid w:val="00647CDE"/>
    <w:rsid w:val="00647D87"/>
    <w:rsid w:val="006504AC"/>
    <w:rsid w:val="00653357"/>
    <w:rsid w:val="006544CC"/>
    <w:rsid w:val="00654FAB"/>
    <w:rsid w:val="00657A42"/>
    <w:rsid w:val="00660AAF"/>
    <w:rsid w:val="00661486"/>
    <w:rsid w:val="0066316A"/>
    <w:rsid w:val="006635C6"/>
    <w:rsid w:val="00664062"/>
    <w:rsid w:val="00664183"/>
    <w:rsid w:val="00664503"/>
    <w:rsid w:val="00667A1A"/>
    <w:rsid w:val="00670DF0"/>
    <w:rsid w:val="00670FDA"/>
    <w:rsid w:val="00671403"/>
    <w:rsid w:val="006725A9"/>
    <w:rsid w:val="00673341"/>
    <w:rsid w:val="00674B29"/>
    <w:rsid w:val="006759CC"/>
    <w:rsid w:val="006765F7"/>
    <w:rsid w:val="0067774B"/>
    <w:rsid w:val="0068601A"/>
    <w:rsid w:val="006866E2"/>
    <w:rsid w:val="0068795A"/>
    <w:rsid w:val="00690232"/>
    <w:rsid w:val="0069134C"/>
    <w:rsid w:val="0069140E"/>
    <w:rsid w:val="00691AF8"/>
    <w:rsid w:val="00693BE6"/>
    <w:rsid w:val="0069740B"/>
    <w:rsid w:val="006A1D9D"/>
    <w:rsid w:val="006A2980"/>
    <w:rsid w:val="006A2FA3"/>
    <w:rsid w:val="006A41FA"/>
    <w:rsid w:val="006A5588"/>
    <w:rsid w:val="006A7494"/>
    <w:rsid w:val="006A79AD"/>
    <w:rsid w:val="006A7B4D"/>
    <w:rsid w:val="006B025A"/>
    <w:rsid w:val="006B1775"/>
    <w:rsid w:val="006B22CF"/>
    <w:rsid w:val="006B271A"/>
    <w:rsid w:val="006B3D5C"/>
    <w:rsid w:val="006B51B7"/>
    <w:rsid w:val="006B5BAE"/>
    <w:rsid w:val="006B786C"/>
    <w:rsid w:val="006C244C"/>
    <w:rsid w:val="006C603D"/>
    <w:rsid w:val="006C700D"/>
    <w:rsid w:val="006C78A6"/>
    <w:rsid w:val="006D15F0"/>
    <w:rsid w:val="006D2FA9"/>
    <w:rsid w:val="006D30C2"/>
    <w:rsid w:val="006D5061"/>
    <w:rsid w:val="006D5869"/>
    <w:rsid w:val="006E2DE0"/>
    <w:rsid w:val="006E328F"/>
    <w:rsid w:val="006E54D9"/>
    <w:rsid w:val="006E58D4"/>
    <w:rsid w:val="006E7495"/>
    <w:rsid w:val="006F00B1"/>
    <w:rsid w:val="006F183D"/>
    <w:rsid w:val="006F297F"/>
    <w:rsid w:val="006F6235"/>
    <w:rsid w:val="00701119"/>
    <w:rsid w:val="00701F3B"/>
    <w:rsid w:val="007029B2"/>
    <w:rsid w:val="007029E8"/>
    <w:rsid w:val="00702D08"/>
    <w:rsid w:val="00702EE3"/>
    <w:rsid w:val="00703008"/>
    <w:rsid w:val="00705270"/>
    <w:rsid w:val="007061D9"/>
    <w:rsid w:val="00707361"/>
    <w:rsid w:val="00710411"/>
    <w:rsid w:val="0071043D"/>
    <w:rsid w:val="00712140"/>
    <w:rsid w:val="00714C7E"/>
    <w:rsid w:val="00715B60"/>
    <w:rsid w:val="00715C6A"/>
    <w:rsid w:val="00717D58"/>
    <w:rsid w:val="00720A5C"/>
    <w:rsid w:val="00720E2E"/>
    <w:rsid w:val="00721133"/>
    <w:rsid w:val="007229E9"/>
    <w:rsid w:val="00723D17"/>
    <w:rsid w:val="0072794D"/>
    <w:rsid w:val="00731139"/>
    <w:rsid w:val="00732395"/>
    <w:rsid w:val="00733984"/>
    <w:rsid w:val="00734591"/>
    <w:rsid w:val="00735DA0"/>
    <w:rsid w:val="00736939"/>
    <w:rsid w:val="00736C51"/>
    <w:rsid w:val="00742E9A"/>
    <w:rsid w:val="0074522C"/>
    <w:rsid w:val="00752B78"/>
    <w:rsid w:val="007550E2"/>
    <w:rsid w:val="00755862"/>
    <w:rsid w:val="00757E51"/>
    <w:rsid w:val="0076317F"/>
    <w:rsid w:val="007635F3"/>
    <w:rsid w:val="00765BEC"/>
    <w:rsid w:val="00770C44"/>
    <w:rsid w:val="007710BE"/>
    <w:rsid w:val="007711C0"/>
    <w:rsid w:val="00771564"/>
    <w:rsid w:val="00771A2A"/>
    <w:rsid w:val="00773AE9"/>
    <w:rsid w:val="00773FA6"/>
    <w:rsid w:val="007753BE"/>
    <w:rsid w:val="00776C6F"/>
    <w:rsid w:val="00776EDA"/>
    <w:rsid w:val="00781419"/>
    <w:rsid w:val="00781504"/>
    <w:rsid w:val="0078156F"/>
    <w:rsid w:val="00782A2D"/>
    <w:rsid w:val="00783D02"/>
    <w:rsid w:val="00784F46"/>
    <w:rsid w:val="00785405"/>
    <w:rsid w:val="00786B4D"/>
    <w:rsid w:val="00791890"/>
    <w:rsid w:val="00792169"/>
    <w:rsid w:val="0079685C"/>
    <w:rsid w:val="00796B7E"/>
    <w:rsid w:val="00797526"/>
    <w:rsid w:val="007A11DE"/>
    <w:rsid w:val="007A3783"/>
    <w:rsid w:val="007A7097"/>
    <w:rsid w:val="007A755A"/>
    <w:rsid w:val="007B0C8F"/>
    <w:rsid w:val="007B0D18"/>
    <w:rsid w:val="007B1F59"/>
    <w:rsid w:val="007B2A62"/>
    <w:rsid w:val="007B3008"/>
    <w:rsid w:val="007B6DDD"/>
    <w:rsid w:val="007C1910"/>
    <w:rsid w:val="007D0F27"/>
    <w:rsid w:val="007D2FB8"/>
    <w:rsid w:val="007D308A"/>
    <w:rsid w:val="007D311A"/>
    <w:rsid w:val="007D4F7B"/>
    <w:rsid w:val="007D5180"/>
    <w:rsid w:val="007E0062"/>
    <w:rsid w:val="007E0492"/>
    <w:rsid w:val="007E0AB9"/>
    <w:rsid w:val="007E0B84"/>
    <w:rsid w:val="007E1316"/>
    <w:rsid w:val="007E217F"/>
    <w:rsid w:val="007E39D6"/>
    <w:rsid w:val="007E6EB1"/>
    <w:rsid w:val="007E7858"/>
    <w:rsid w:val="007F0673"/>
    <w:rsid w:val="007F0696"/>
    <w:rsid w:val="007F2159"/>
    <w:rsid w:val="007F317E"/>
    <w:rsid w:val="007F3296"/>
    <w:rsid w:val="007F3556"/>
    <w:rsid w:val="007F5C62"/>
    <w:rsid w:val="007F6D33"/>
    <w:rsid w:val="007F7060"/>
    <w:rsid w:val="007F7062"/>
    <w:rsid w:val="007F7AC6"/>
    <w:rsid w:val="00801211"/>
    <w:rsid w:val="00801D80"/>
    <w:rsid w:val="00802371"/>
    <w:rsid w:val="00802A3E"/>
    <w:rsid w:val="00802B44"/>
    <w:rsid w:val="00803824"/>
    <w:rsid w:val="008040A1"/>
    <w:rsid w:val="008069DF"/>
    <w:rsid w:val="00806C91"/>
    <w:rsid w:val="0080770A"/>
    <w:rsid w:val="008128AA"/>
    <w:rsid w:val="008131A3"/>
    <w:rsid w:val="00814086"/>
    <w:rsid w:val="00814529"/>
    <w:rsid w:val="00814B14"/>
    <w:rsid w:val="00815030"/>
    <w:rsid w:val="008154A9"/>
    <w:rsid w:val="00816A4E"/>
    <w:rsid w:val="0082156D"/>
    <w:rsid w:val="00823CD4"/>
    <w:rsid w:val="008244BE"/>
    <w:rsid w:val="00827479"/>
    <w:rsid w:val="0083069C"/>
    <w:rsid w:val="00830FF9"/>
    <w:rsid w:val="0083204B"/>
    <w:rsid w:val="00835B27"/>
    <w:rsid w:val="00836E8E"/>
    <w:rsid w:val="00837715"/>
    <w:rsid w:val="0084095C"/>
    <w:rsid w:val="008410E2"/>
    <w:rsid w:val="00841B61"/>
    <w:rsid w:val="00845BF4"/>
    <w:rsid w:val="00845E31"/>
    <w:rsid w:val="008479B7"/>
    <w:rsid w:val="00851673"/>
    <w:rsid w:val="00851DBA"/>
    <w:rsid w:val="00852E2F"/>
    <w:rsid w:val="00855E01"/>
    <w:rsid w:val="00856163"/>
    <w:rsid w:val="00856169"/>
    <w:rsid w:val="008570D9"/>
    <w:rsid w:val="00857802"/>
    <w:rsid w:val="00860895"/>
    <w:rsid w:val="00860A58"/>
    <w:rsid w:val="00864C2E"/>
    <w:rsid w:val="00865E7E"/>
    <w:rsid w:val="00866074"/>
    <w:rsid w:val="008662C2"/>
    <w:rsid w:val="00866D40"/>
    <w:rsid w:val="00866D93"/>
    <w:rsid w:val="00872D16"/>
    <w:rsid w:val="00875288"/>
    <w:rsid w:val="00877447"/>
    <w:rsid w:val="008775E1"/>
    <w:rsid w:val="0088123A"/>
    <w:rsid w:val="00882EAF"/>
    <w:rsid w:val="008838D2"/>
    <w:rsid w:val="00886A02"/>
    <w:rsid w:val="00890B3E"/>
    <w:rsid w:val="00891BE4"/>
    <w:rsid w:val="008950A8"/>
    <w:rsid w:val="008A0DCC"/>
    <w:rsid w:val="008A375B"/>
    <w:rsid w:val="008A5877"/>
    <w:rsid w:val="008B2877"/>
    <w:rsid w:val="008B32AD"/>
    <w:rsid w:val="008B5C50"/>
    <w:rsid w:val="008B71DE"/>
    <w:rsid w:val="008C3061"/>
    <w:rsid w:val="008C3DE0"/>
    <w:rsid w:val="008C7820"/>
    <w:rsid w:val="008D3454"/>
    <w:rsid w:val="008D3A07"/>
    <w:rsid w:val="008D41DA"/>
    <w:rsid w:val="008D4921"/>
    <w:rsid w:val="008D6C3E"/>
    <w:rsid w:val="008D72A7"/>
    <w:rsid w:val="008E2AC9"/>
    <w:rsid w:val="008E35C4"/>
    <w:rsid w:val="008E7750"/>
    <w:rsid w:val="008F0CC7"/>
    <w:rsid w:val="008F61E2"/>
    <w:rsid w:val="0090439D"/>
    <w:rsid w:val="0090701E"/>
    <w:rsid w:val="009101DC"/>
    <w:rsid w:val="00910279"/>
    <w:rsid w:val="009115D5"/>
    <w:rsid w:val="00912263"/>
    <w:rsid w:val="00912879"/>
    <w:rsid w:val="00913FB6"/>
    <w:rsid w:val="0091436B"/>
    <w:rsid w:val="009148C8"/>
    <w:rsid w:val="00921E5E"/>
    <w:rsid w:val="00922070"/>
    <w:rsid w:val="00922B61"/>
    <w:rsid w:val="00922D8A"/>
    <w:rsid w:val="009239BE"/>
    <w:rsid w:val="00925E61"/>
    <w:rsid w:val="00931DC3"/>
    <w:rsid w:val="00932464"/>
    <w:rsid w:val="0093256A"/>
    <w:rsid w:val="00937A0B"/>
    <w:rsid w:val="00937C25"/>
    <w:rsid w:val="00937D27"/>
    <w:rsid w:val="009476F4"/>
    <w:rsid w:val="009502A8"/>
    <w:rsid w:val="00951AA1"/>
    <w:rsid w:val="00952A92"/>
    <w:rsid w:val="00955B9F"/>
    <w:rsid w:val="00965D51"/>
    <w:rsid w:val="00965F76"/>
    <w:rsid w:val="0096670A"/>
    <w:rsid w:val="00966FA7"/>
    <w:rsid w:val="00967443"/>
    <w:rsid w:val="00970325"/>
    <w:rsid w:val="009705D2"/>
    <w:rsid w:val="00971F52"/>
    <w:rsid w:val="00972B1D"/>
    <w:rsid w:val="009747B6"/>
    <w:rsid w:val="00975AB5"/>
    <w:rsid w:val="00976224"/>
    <w:rsid w:val="00980901"/>
    <w:rsid w:val="009818DC"/>
    <w:rsid w:val="00982B2E"/>
    <w:rsid w:val="0098536E"/>
    <w:rsid w:val="00991A46"/>
    <w:rsid w:val="009A0FB8"/>
    <w:rsid w:val="009A11F4"/>
    <w:rsid w:val="009A171E"/>
    <w:rsid w:val="009A2E37"/>
    <w:rsid w:val="009A34B9"/>
    <w:rsid w:val="009A56A4"/>
    <w:rsid w:val="009A7C43"/>
    <w:rsid w:val="009B0A79"/>
    <w:rsid w:val="009B19B2"/>
    <w:rsid w:val="009B391C"/>
    <w:rsid w:val="009B4B2B"/>
    <w:rsid w:val="009B5DEB"/>
    <w:rsid w:val="009B6659"/>
    <w:rsid w:val="009B6886"/>
    <w:rsid w:val="009B6CEC"/>
    <w:rsid w:val="009C086D"/>
    <w:rsid w:val="009C31A2"/>
    <w:rsid w:val="009C32F2"/>
    <w:rsid w:val="009C422E"/>
    <w:rsid w:val="009C4B32"/>
    <w:rsid w:val="009C5AC0"/>
    <w:rsid w:val="009C69D5"/>
    <w:rsid w:val="009D0907"/>
    <w:rsid w:val="009D1B1C"/>
    <w:rsid w:val="009D1C6F"/>
    <w:rsid w:val="009D23AB"/>
    <w:rsid w:val="009D32E1"/>
    <w:rsid w:val="009D5AC1"/>
    <w:rsid w:val="009D6B4B"/>
    <w:rsid w:val="009D7991"/>
    <w:rsid w:val="009E13D0"/>
    <w:rsid w:val="009E4A44"/>
    <w:rsid w:val="009E5B8D"/>
    <w:rsid w:val="009E73D2"/>
    <w:rsid w:val="009E7801"/>
    <w:rsid w:val="009F0057"/>
    <w:rsid w:val="009F108F"/>
    <w:rsid w:val="009F23C7"/>
    <w:rsid w:val="009F2474"/>
    <w:rsid w:val="009F2534"/>
    <w:rsid w:val="009F39C3"/>
    <w:rsid w:val="009F53FE"/>
    <w:rsid w:val="009F5590"/>
    <w:rsid w:val="009F5B6E"/>
    <w:rsid w:val="009F61F0"/>
    <w:rsid w:val="009F7720"/>
    <w:rsid w:val="00A0096B"/>
    <w:rsid w:val="00A01ACD"/>
    <w:rsid w:val="00A04A2E"/>
    <w:rsid w:val="00A053B4"/>
    <w:rsid w:val="00A06A67"/>
    <w:rsid w:val="00A079CC"/>
    <w:rsid w:val="00A12141"/>
    <w:rsid w:val="00A128C7"/>
    <w:rsid w:val="00A12BEB"/>
    <w:rsid w:val="00A13E54"/>
    <w:rsid w:val="00A14B60"/>
    <w:rsid w:val="00A1523C"/>
    <w:rsid w:val="00A15286"/>
    <w:rsid w:val="00A15995"/>
    <w:rsid w:val="00A15F85"/>
    <w:rsid w:val="00A16828"/>
    <w:rsid w:val="00A16B2A"/>
    <w:rsid w:val="00A16CE4"/>
    <w:rsid w:val="00A214D8"/>
    <w:rsid w:val="00A240F3"/>
    <w:rsid w:val="00A247F5"/>
    <w:rsid w:val="00A250BA"/>
    <w:rsid w:val="00A26826"/>
    <w:rsid w:val="00A270FC"/>
    <w:rsid w:val="00A31844"/>
    <w:rsid w:val="00A35D4B"/>
    <w:rsid w:val="00A35F70"/>
    <w:rsid w:val="00A40A75"/>
    <w:rsid w:val="00A41197"/>
    <w:rsid w:val="00A41740"/>
    <w:rsid w:val="00A4492E"/>
    <w:rsid w:val="00A451D7"/>
    <w:rsid w:val="00A468AC"/>
    <w:rsid w:val="00A503EC"/>
    <w:rsid w:val="00A50AE0"/>
    <w:rsid w:val="00A548BA"/>
    <w:rsid w:val="00A55EC8"/>
    <w:rsid w:val="00A60FB1"/>
    <w:rsid w:val="00A646F4"/>
    <w:rsid w:val="00A671A5"/>
    <w:rsid w:val="00A70A7A"/>
    <w:rsid w:val="00A72E5D"/>
    <w:rsid w:val="00A73CFB"/>
    <w:rsid w:val="00A7466B"/>
    <w:rsid w:val="00A74BD5"/>
    <w:rsid w:val="00A75744"/>
    <w:rsid w:val="00A7583C"/>
    <w:rsid w:val="00A76032"/>
    <w:rsid w:val="00A80410"/>
    <w:rsid w:val="00A81BD1"/>
    <w:rsid w:val="00A83107"/>
    <w:rsid w:val="00A833DB"/>
    <w:rsid w:val="00A84600"/>
    <w:rsid w:val="00A84898"/>
    <w:rsid w:val="00A85903"/>
    <w:rsid w:val="00A85CB8"/>
    <w:rsid w:val="00A86D2E"/>
    <w:rsid w:val="00A87736"/>
    <w:rsid w:val="00A9180C"/>
    <w:rsid w:val="00A91B86"/>
    <w:rsid w:val="00A91F8E"/>
    <w:rsid w:val="00A942AE"/>
    <w:rsid w:val="00A94D21"/>
    <w:rsid w:val="00A95593"/>
    <w:rsid w:val="00A972C7"/>
    <w:rsid w:val="00A979F4"/>
    <w:rsid w:val="00AA3040"/>
    <w:rsid w:val="00AA3104"/>
    <w:rsid w:val="00AA52FE"/>
    <w:rsid w:val="00AB1751"/>
    <w:rsid w:val="00AB3336"/>
    <w:rsid w:val="00AB3757"/>
    <w:rsid w:val="00AB3792"/>
    <w:rsid w:val="00AB4951"/>
    <w:rsid w:val="00AB5BA4"/>
    <w:rsid w:val="00AB716A"/>
    <w:rsid w:val="00AB7F60"/>
    <w:rsid w:val="00AC015F"/>
    <w:rsid w:val="00AC185F"/>
    <w:rsid w:val="00AC2895"/>
    <w:rsid w:val="00AC2937"/>
    <w:rsid w:val="00AC2E96"/>
    <w:rsid w:val="00AC3D10"/>
    <w:rsid w:val="00AC3F60"/>
    <w:rsid w:val="00AC47C3"/>
    <w:rsid w:val="00AC4D0B"/>
    <w:rsid w:val="00AC6436"/>
    <w:rsid w:val="00AC74D4"/>
    <w:rsid w:val="00AD0017"/>
    <w:rsid w:val="00AD0C0B"/>
    <w:rsid w:val="00AD1A62"/>
    <w:rsid w:val="00AD1E88"/>
    <w:rsid w:val="00AD3D23"/>
    <w:rsid w:val="00AD6601"/>
    <w:rsid w:val="00AE1FE4"/>
    <w:rsid w:val="00AE2AC2"/>
    <w:rsid w:val="00AE4A84"/>
    <w:rsid w:val="00AE512D"/>
    <w:rsid w:val="00AE67A7"/>
    <w:rsid w:val="00AE7300"/>
    <w:rsid w:val="00AF7F4C"/>
    <w:rsid w:val="00B00AC2"/>
    <w:rsid w:val="00B028B4"/>
    <w:rsid w:val="00B0310B"/>
    <w:rsid w:val="00B036A2"/>
    <w:rsid w:val="00B040F6"/>
    <w:rsid w:val="00B048CE"/>
    <w:rsid w:val="00B05ACD"/>
    <w:rsid w:val="00B067F9"/>
    <w:rsid w:val="00B07B5C"/>
    <w:rsid w:val="00B11AAC"/>
    <w:rsid w:val="00B12225"/>
    <w:rsid w:val="00B134DF"/>
    <w:rsid w:val="00B140B1"/>
    <w:rsid w:val="00B179C3"/>
    <w:rsid w:val="00B20056"/>
    <w:rsid w:val="00B21DD7"/>
    <w:rsid w:val="00B22A7D"/>
    <w:rsid w:val="00B2310D"/>
    <w:rsid w:val="00B23133"/>
    <w:rsid w:val="00B2420D"/>
    <w:rsid w:val="00B254BA"/>
    <w:rsid w:val="00B274F6"/>
    <w:rsid w:val="00B2753A"/>
    <w:rsid w:val="00B3165B"/>
    <w:rsid w:val="00B317A7"/>
    <w:rsid w:val="00B3237B"/>
    <w:rsid w:val="00B33E99"/>
    <w:rsid w:val="00B359D8"/>
    <w:rsid w:val="00B3632A"/>
    <w:rsid w:val="00B3727A"/>
    <w:rsid w:val="00B37436"/>
    <w:rsid w:val="00B37DD4"/>
    <w:rsid w:val="00B41705"/>
    <w:rsid w:val="00B4248B"/>
    <w:rsid w:val="00B42720"/>
    <w:rsid w:val="00B42F31"/>
    <w:rsid w:val="00B43C51"/>
    <w:rsid w:val="00B444DE"/>
    <w:rsid w:val="00B44809"/>
    <w:rsid w:val="00B50913"/>
    <w:rsid w:val="00B54228"/>
    <w:rsid w:val="00B546DA"/>
    <w:rsid w:val="00B552C1"/>
    <w:rsid w:val="00B561A4"/>
    <w:rsid w:val="00B56890"/>
    <w:rsid w:val="00B568AA"/>
    <w:rsid w:val="00B56BDF"/>
    <w:rsid w:val="00B57CA1"/>
    <w:rsid w:val="00B607F6"/>
    <w:rsid w:val="00B617B1"/>
    <w:rsid w:val="00B62009"/>
    <w:rsid w:val="00B630E4"/>
    <w:rsid w:val="00B64B5D"/>
    <w:rsid w:val="00B655C2"/>
    <w:rsid w:val="00B65BFB"/>
    <w:rsid w:val="00B65D00"/>
    <w:rsid w:val="00B720D9"/>
    <w:rsid w:val="00B73D94"/>
    <w:rsid w:val="00B745AF"/>
    <w:rsid w:val="00B7558A"/>
    <w:rsid w:val="00B84A02"/>
    <w:rsid w:val="00B85304"/>
    <w:rsid w:val="00B853C1"/>
    <w:rsid w:val="00B85658"/>
    <w:rsid w:val="00B8566F"/>
    <w:rsid w:val="00B85E04"/>
    <w:rsid w:val="00B85F36"/>
    <w:rsid w:val="00B86B8F"/>
    <w:rsid w:val="00B9050A"/>
    <w:rsid w:val="00B920AE"/>
    <w:rsid w:val="00B921B8"/>
    <w:rsid w:val="00B94037"/>
    <w:rsid w:val="00B94123"/>
    <w:rsid w:val="00B94477"/>
    <w:rsid w:val="00B95315"/>
    <w:rsid w:val="00B97958"/>
    <w:rsid w:val="00BA2B00"/>
    <w:rsid w:val="00BA2DE7"/>
    <w:rsid w:val="00BA3BED"/>
    <w:rsid w:val="00BA3D09"/>
    <w:rsid w:val="00BA523C"/>
    <w:rsid w:val="00BA721C"/>
    <w:rsid w:val="00BB3EFD"/>
    <w:rsid w:val="00BB40E6"/>
    <w:rsid w:val="00BB4189"/>
    <w:rsid w:val="00BB6C12"/>
    <w:rsid w:val="00BC1072"/>
    <w:rsid w:val="00BC15BB"/>
    <w:rsid w:val="00BC1610"/>
    <w:rsid w:val="00BC32C9"/>
    <w:rsid w:val="00BC4DB8"/>
    <w:rsid w:val="00BC5E55"/>
    <w:rsid w:val="00BC6415"/>
    <w:rsid w:val="00BC6E80"/>
    <w:rsid w:val="00BC6EA3"/>
    <w:rsid w:val="00BC7ED4"/>
    <w:rsid w:val="00BD174C"/>
    <w:rsid w:val="00BD20C0"/>
    <w:rsid w:val="00BD2562"/>
    <w:rsid w:val="00BD6CBF"/>
    <w:rsid w:val="00BE0CE7"/>
    <w:rsid w:val="00BE1189"/>
    <w:rsid w:val="00BE32C1"/>
    <w:rsid w:val="00BE4F26"/>
    <w:rsid w:val="00BE5D73"/>
    <w:rsid w:val="00BE6B3E"/>
    <w:rsid w:val="00BF00C5"/>
    <w:rsid w:val="00BF066D"/>
    <w:rsid w:val="00BF066F"/>
    <w:rsid w:val="00BF44F3"/>
    <w:rsid w:val="00BF5DE7"/>
    <w:rsid w:val="00C00E12"/>
    <w:rsid w:val="00C01A55"/>
    <w:rsid w:val="00C0484D"/>
    <w:rsid w:val="00C05550"/>
    <w:rsid w:val="00C05F06"/>
    <w:rsid w:val="00C06999"/>
    <w:rsid w:val="00C1039F"/>
    <w:rsid w:val="00C11B8D"/>
    <w:rsid w:val="00C14032"/>
    <w:rsid w:val="00C168AA"/>
    <w:rsid w:val="00C16DA9"/>
    <w:rsid w:val="00C17CC7"/>
    <w:rsid w:val="00C20971"/>
    <w:rsid w:val="00C21FE9"/>
    <w:rsid w:val="00C22C3B"/>
    <w:rsid w:val="00C24700"/>
    <w:rsid w:val="00C24871"/>
    <w:rsid w:val="00C24C7C"/>
    <w:rsid w:val="00C25F2E"/>
    <w:rsid w:val="00C275AD"/>
    <w:rsid w:val="00C332E1"/>
    <w:rsid w:val="00C33A89"/>
    <w:rsid w:val="00C340FF"/>
    <w:rsid w:val="00C35CA5"/>
    <w:rsid w:val="00C363E9"/>
    <w:rsid w:val="00C4135D"/>
    <w:rsid w:val="00C425AE"/>
    <w:rsid w:val="00C431FA"/>
    <w:rsid w:val="00C44B07"/>
    <w:rsid w:val="00C44C19"/>
    <w:rsid w:val="00C44D56"/>
    <w:rsid w:val="00C46F7B"/>
    <w:rsid w:val="00C47D0C"/>
    <w:rsid w:val="00C53FD0"/>
    <w:rsid w:val="00C5460C"/>
    <w:rsid w:val="00C54704"/>
    <w:rsid w:val="00C56D49"/>
    <w:rsid w:val="00C61D52"/>
    <w:rsid w:val="00C63A77"/>
    <w:rsid w:val="00C662C5"/>
    <w:rsid w:val="00C676C1"/>
    <w:rsid w:val="00C709D0"/>
    <w:rsid w:val="00C73B19"/>
    <w:rsid w:val="00C74F61"/>
    <w:rsid w:val="00C75961"/>
    <w:rsid w:val="00C7638F"/>
    <w:rsid w:val="00C776DE"/>
    <w:rsid w:val="00C807D2"/>
    <w:rsid w:val="00C80B6A"/>
    <w:rsid w:val="00C811D3"/>
    <w:rsid w:val="00C81C0E"/>
    <w:rsid w:val="00C829E0"/>
    <w:rsid w:val="00C82D28"/>
    <w:rsid w:val="00C82EB8"/>
    <w:rsid w:val="00C83027"/>
    <w:rsid w:val="00C83101"/>
    <w:rsid w:val="00C84397"/>
    <w:rsid w:val="00C8665A"/>
    <w:rsid w:val="00C86675"/>
    <w:rsid w:val="00C8798A"/>
    <w:rsid w:val="00C90D83"/>
    <w:rsid w:val="00C91AD3"/>
    <w:rsid w:val="00C925F9"/>
    <w:rsid w:val="00C948BD"/>
    <w:rsid w:val="00C949E2"/>
    <w:rsid w:val="00C94FB7"/>
    <w:rsid w:val="00C950D3"/>
    <w:rsid w:val="00C97DE7"/>
    <w:rsid w:val="00CA00D2"/>
    <w:rsid w:val="00CA14C0"/>
    <w:rsid w:val="00CA1559"/>
    <w:rsid w:val="00CA49A3"/>
    <w:rsid w:val="00CA4B84"/>
    <w:rsid w:val="00CA4F0F"/>
    <w:rsid w:val="00CA5029"/>
    <w:rsid w:val="00CA5538"/>
    <w:rsid w:val="00CA59C7"/>
    <w:rsid w:val="00CA60BB"/>
    <w:rsid w:val="00CB0331"/>
    <w:rsid w:val="00CB0BF9"/>
    <w:rsid w:val="00CB1F49"/>
    <w:rsid w:val="00CB2525"/>
    <w:rsid w:val="00CB4FD6"/>
    <w:rsid w:val="00CB60F1"/>
    <w:rsid w:val="00CB62C7"/>
    <w:rsid w:val="00CB63A2"/>
    <w:rsid w:val="00CB719C"/>
    <w:rsid w:val="00CB7548"/>
    <w:rsid w:val="00CC09AC"/>
    <w:rsid w:val="00CC0C5E"/>
    <w:rsid w:val="00CC2214"/>
    <w:rsid w:val="00CC3D17"/>
    <w:rsid w:val="00CD0376"/>
    <w:rsid w:val="00CD0D45"/>
    <w:rsid w:val="00CD0DEE"/>
    <w:rsid w:val="00CD127A"/>
    <w:rsid w:val="00CD291C"/>
    <w:rsid w:val="00CD4774"/>
    <w:rsid w:val="00CD5136"/>
    <w:rsid w:val="00CD564D"/>
    <w:rsid w:val="00CD5763"/>
    <w:rsid w:val="00CE0B39"/>
    <w:rsid w:val="00CE5B3E"/>
    <w:rsid w:val="00CE5B76"/>
    <w:rsid w:val="00CF08C0"/>
    <w:rsid w:val="00CF124E"/>
    <w:rsid w:val="00CF1B17"/>
    <w:rsid w:val="00CF3CDA"/>
    <w:rsid w:val="00CF5416"/>
    <w:rsid w:val="00CF74C0"/>
    <w:rsid w:val="00CF7814"/>
    <w:rsid w:val="00D00F91"/>
    <w:rsid w:val="00D01330"/>
    <w:rsid w:val="00D02FE8"/>
    <w:rsid w:val="00D03AC5"/>
    <w:rsid w:val="00D049A5"/>
    <w:rsid w:val="00D0519B"/>
    <w:rsid w:val="00D06CA3"/>
    <w:rsid w:val="00D11522"/>
    <w:rsid w:val="00D115C4"/>
    <w:rsid w:val="00D11CE7"/>
    <w:rsid w:val="00D12762"/>
    <w:rsid w:val="00D156E0"/>
    <w:rsid w:val="00D15DEC"/>
    <w:rsid w:val="00D16D61"/>
    <w:rsid w:val="00D176E2"/>
    <w:rsid w:val="00D17F75"/>
    <w:rsid w:val="00D24386"/>
    <w:rsid w:val="00D24994"/>
    <w:rsid w:val="00D2615A"/>
    <w:rsid w:val="00D3062D"/>
    <w:rsid w:val="00D30E4D"/>
    <w:rsid w:val="00D3172D"/>
    <w:rsid w:val="00D32D40"/>
    <w:rsid w:val="00D33D6A"/>
    <w:rsid w:val="00D35748"/>
    <w:rsid w:val="00D358D6"/>
    <w:rsid w:val="00D4054E"/>
    <w:rsid w:val="00D4073F"/>
    <w:rsid w:val="00D41314"/>
    <w:rsid w:val="00D44A4B"/>
    <w:rsid w:val="00D452E8"/>
    <w:rsid w:val="00D47553"/>
    <w:rsid w:val="00D5606E"/>
    <w:rsid w:val="00D60772"/>
    <w:rsid w:val="00D61D17"/>
    <w:rsid w:val="00D62840"/>
    <w:rsid w:val="00D63341"/>
    <w:rsid w:val="00D651CF"/>
    <w:rsid w:val="00D6625C"/>
    <w:rsid w:val="00D6696A"/>
    <w:rsid w:val="00D70C82"/>
    <w:rsid w:val="00D73EA6"/>
    <w:rsid w:val="00D75219"/>
    <w:rsid w:val="00D758C4"/>
    <w:rsid w:val="00D76F05"/>
    <w:rsid w:val="00D77195"/>
    <w:rsid w:val="00D8065F"/>
    <w:rsid w:val="00D8084E"/>
    <w:rsid w:val="00D80DB6"/>
    <w:rsid w:val="00D814D3"/>
    <w:rsid w:val="00D815E3"/>
    <w:rsid w:val="00D81ACA"/>
    <w:rsid w:val="00D84074"/>
    <w:rsid w:val="00D8687F"/>
    <w:rsid w:val="00D86F16"/>
    <w:rsid w:val="00D902DE"/>
    <w:rsid w:val="00D90AD2"/>
    <w:rsid w:val="00D92533"/>
    <w:rsid w:val="00D927F8"/>
    <w:rsid w:val="00D942AB"/>
    <w:rsid w:val="00D955E1"/>
    <w:rsid w:val="00D95AD3"/>
    <w:rsid w:val="00D95DDA"/>
    <w:rsid w:val="00D97749"/>
    <w:rsid w:val="00D97DB6"/>
    <w:rsid w:val="00DA0476"/>
    <w:rsid w:val="00DA08AE"/>
    <w:rsid w:val="00DA0B35"/>
    <w:rsid w:val="00DA1CA6"/>
    <w:rsid w:val="00DA2F5A"/>
    <w:rsid w:val="00DA5F33"/>
    <w:rsid w:val="00DA6F60"/>
    <w:rsid w:val="00DA7021"/>
    <w:rsid w:val="00DA7256"/>
    <w:rsid w:val="00DB2FA5"/>
    <w:rsid w:val="00DC04D7"/>
    <w:rsid w:val="00DC2CDC"/>
    <w:rsid w:val="00DC3B27"/>
    <w:rsid w:val="00DC3B89"/>
    <w:rsid w:val="00DC427C"/>
    <w:rsid w:val="00DC5130"/>
    <w:rsid w:val="00DC578D"/>
    <w:rsid w:val="00DC6B30"/>
    <w:rsid w:val="00DC6DFB"/>
    <w:rsid w:val="00DD22D1"/>
    <w:rsid w:val="00DD3D75"/>
    <w:rsid w:val="00DD4E79"/>
    <w:rsid w:val="00DD4F7B"/>
    <w:rsid w:val="00DE12F3"/>
    <w:rsid w:val="00DE2181"/>
    <w:rsid w:val="00DE27C1"/>
    <w:rsid w:val="00DE2FAB"/>
    <w:rsid w:val="00DE371F"/>
    <w:rsid w:val="00DE3728"/>
    <w:rsid w:val="00DE5A64"/>
    <w:rsid w:val="00DF1703"/>
    <w:rsid w:val="00DF219B"/>
    <w:rsid w:val="00DF4F81"/>
    <w:rsid w:val="00DF6060"/>
    <w:rsid w:val="00DF6556"/>
    <w:rsid w:val="00DF6BDC"/>
    <w:rsid w:val="00DF7099"/>
    <w:rsid w:val="00E00E70"/>
    <w:rsid w:val="00E014CF"/>
    <w:rsid w:val="00E0259F"/>
    <w:rsid w:val="00E02B7D"/>
    <w:rsid w:val="00E03DEC"/>
    <w:rsid w:val="00E04A99"/>
    <w:rsid w:val="00E10FD6"/>
    <w:rsid w:val="00E13465"/>
    <w:rsid w:val="00E14839"/>
    <w:rsid w:val="00E150F0"/>
    <w:rsid w:val="00E166CE"/>
    <w:rsid w:val="00E16AA5"/>
    <w:rsid w:val="00E16D05"/>
    <w:rsid w:val="00E20852"/>
    <w:rsid w:val="00E21BE7"/>
    <w:rsid w:val="00E23244"/>
    <w:rsid w:val="00E25D3D"/>
    <w:rsid w:val="00E262E6"/>
    <w:rsid w:val="00E262F8"/>
    <w:rsid w:val="00E277E8"/>
    <w:rsid w:val="00E2797D"/>
    <w:rsid w:val="00E32C99"/>
    <w:rsid w:val="00E33205"/>
    <w:rsid w:val="00E344CD"/>
    <w:rsid w:val="00E361FF"/>
    <w:rsid w:val="00E363CF"/>
    <w:rsid w:val="00E42CF4"/>
    <w:rsid w:val="00E43DE1"/>
    <w:rsid w:val="00E43E18"/>
    <w:rsid w:val="00E47B25"/>
    <w:rsid w:val="00E50618"/>
    <w:rsid w:val="00E50876"/>
    <w:rsid w:val="00E50AED"/>
    <w:rsid w:val="00E52607"/>
    <w:rsid w:val="00E531CB"/>
    <w:rsid w:val="00E5653C"/>
    <w:rsid w:val="00E60D4F"/>
    <w:rsid w:val="00E613C1"/>
    <w:rsid w:val="00E61CBB"/>
    <w:rsid w:val="00E61D94"/>
    <w:rsid w:val="00E6202D"/>
    <w:rsid w:val="00E63157"/>
    <w:rsid w:val="00E63914"/>
    <w:rsid w:val="00E64109"/>
    <w:rsid w:val="00E6573A"/>
    <w:rsid w:val="00E673ED"/>
    <w:rsid w:val="00E676DE"/>
    <w:rsid w:val="00E67C87"/>
    <w:rsid w:val="00E70B72"/>
    <w:rsid w:val="00E71952"/>
    <w:rsid w:val="00E721C8"/>
    <w:rsid w:val="00E737B6"/>
    <w:rsid w:val="00E737E2"/>
    <w:rsid w:val="00E7395C"/>
    <w:rsid w:val="00E74BEB"/>
    <w:rsid w:val="00E81543"/>
    <w:rsid w:val="00E81767"/>
    <w:rsid w:val="00E8235F"/>
    <w:rsid w:val="00E842C3"/>
    <w:rsid w:val="00E86695"/>
    <w:rsid w:val="00E868F1"/>
    <w:rsid w:val="00E87C8D"/>
    <w:rsid w:val="00E92450"/>
    <w:rsid w:val="00E93139"/>
    <w:rsid w:val="00E94080"/>
    <w:rsid w:val="00E95D77"/>
    <w:rsid w:val="00EA3B24"/>
    <w:rsid w:val="00EA4B33"/>
    <w:rsid w:val="00EA5446"/>
    <w:rsid w:val="00EA7784"/>
    <w:rsid w:val="00EB07C0"/>
    <w:rsid w:val="00EB0B1F"/>
    <w:rsid w:val="00EB0ED3"/>
    <w:rsid w:val="00EB297E"/>
    <w:rsid w:val="00EB3FEE"/>
    <w:rsid w:val="00EB7763"/>
    <w:rsid w:val="00EB7998"/>
    <w:rsid w:val="00EC092D"/>
    <w:rsid w:val="00EC1CB9"/>
    <w:rsid w:val="00EC4802"/>
    <w:rsid w:val="00EC4C8A"/>
    <w:rsid w:val="00ED0131"/>
    <w:rsid w:val="00ED0409"/>
    <w:rsid w:val="00ED0A51"/>
    <w:rsid w:val="00ED1268"/>
    <w:rsid w:val="00ED2B1C"/>
    <w:rsid w:val="00ED38A9"/>
    <w:rsid w:val="00ED4813"/>
    <w:rsid w:val="00EE00B5"/>
    <w:rsid w:val="00EE1CA8"/>
    <w:rsid w:val="00EE2352"/>
    <w:rsid w:val="00EE757B"/>
    <w:rsid w:val="00EE7BE5"/>
    <w:rsid w:val="00EF0D9B"/>
    <w:rsid w:val="00EF147A"/>
    <w:rsid w:val="00EF1B91"/>
    <w:rsid w:val="00EF2CCB"/>
    <w:rsid w:val="00EF35E3"/>
    <w:rsid w:val="00F017F8"/>
    <w:rsid w:val="00F02154"/>
    <w:rsid w:val="00F02E31"/>
    <w:rsid w:val="00F03110"/>
    <w:rsid w:val="00F032AB"/>
    <w:rsid w:val="00F03923"/>
    <w:rsid w:val="00F057A7"/>
    <w:rsid w:val="00F05C4D"/>
    <w:rsid w:val="00F065FF"/>
    <w:rsid w:val="00F06740"/>
    <w:rsid w:val="00F07050"/>
    <w:rsid w:val="00F07E6A"/>
    <w:rsid w:val="00F10B94"/>
    <w:rsid w:val="00F11D33"/>
    <w:rsid w:val="00F12344"/>
    <w:rsid w:val="00F124AF"/>
    <w:rsid w:val="00F218C9"/>
    <w:rsid w:val="00F21D7C"/>
    <w:rsid w:val="00F23893"/>
    <w:rsid w:val="00F261A8"/>
    <w:rsid w:val="00F26D52"/>
    <w:rsid w:val="00F30116"/>
    <w:rsid w:val="00F31FB2"/>
    <w:rsid w:val="00F3204E"/>
    <w:rsid w:val="00F3257A"/>
    <w:rsid w:val="00F328FC"/>
    <w:rsid w:val="00F338FC"/>
    <w:rsid w:val="00F35A01"/>
    <w:rsid w:val="00F400F0"/>
    <w:rsid w:val="00F41495"/>
    <w:rsid w:val="00F42ACD"/>
    <w:rsid w:val="00F42E56"/>
    <w:rsid w:val="00F43E47"/>
    <w:rsid w:val="00F45A31"/>
    <w:rsid w:val="00F4660B"/>
    <w:rsid w:val="00F47928"/>
    <w:rsid w:val="00F51D5A"/>
    <w:rsid w:val="00F5261E"/>
    <w:rsid w:val="00F53881"/>
    <w:rsid w:val="00F53D4D"/>
    <w:rsid w:val="00F542EF"/>
    <w:rsid w:val="00F550AD"/>
    <w:rsid w:val="00F56B31"/>
    <w:rsid w:val="00F56FA7"/>
    <w:rsid w:val="00F57B3F"/>
    <w:rsid w:val="00F62851"/>
    <w:rsid w:val="00F62E1F"/>
    <w:rsid w:val="00F64B39"/>
    <w:rsid w:val="00F714DB"/>
    <w:rsid w:val="00F72250"/>
    <w:rsid w:val="00F73202"/>
    <w:rsid w:val="00F73880"/>
    <w:rsid w:val="00F74DE3"/>
    <w:rsid w:val="00F82590"/>
    <w:rsid w:val="00F8375A"/>
    <w:rsid w:val="00F84336"/>
    <w:rsid w:val="00F86810"/>
    <w:rsid w:val="00F86AED"/>
    <w:rsid w:val="00F90259"/>
    <w:rsid w:val="00F90DC3"/>
    <w:rsid w:val="00F931AE"/>
    <w:rsid w:val="00F954E3"/>
    <w:rsid w:val="00F97965"/>
    <w:rsid w:val="00FA1F41"/>
    <w:rsid w:val="00FA1FDD"/>
    <w:rsid w:val="00FA4613"/>
    <w:rsid w:val="00FA5425"/>
    <w:rsid w:val="00FA5832"/>
    <w:rsid w:val="00FA5C15"/>
    <w:rsid w:val="00FA69E0"/>
    <w:rsid w:val="00FA7B60"/>
    <w:rsid w:val="00FB06C7"/>
    <w:rsid w:val="00FB0DA0"/>
    <w:rsid w:val="00FB4E9E"/>
    <w:rsid w:val="00FB513D"/>
    <w:rsid w:val="00FC1159"/>
    <w:rsid w:val="00FC182A"/>
    <w:rsid w:val="00FC4357"/>
    <w:rsid w:val="00FC51A0"/>
    <w:rsid w:val="00FC5377"/>
    <w:rsid w:val="00FC5E61"/>
    <w:rsid w:val="00FC65A4"/>
    <w:rsid w:val="00FC6A6E"/>
    <w:rsid w:val="00FC6D79"/>
    <w:rsid w:val="00FD1D3C"/>
    <w:rsid w:val="00FD2B57"/>
    <w:rsid w:val="00FD3B74"/>
    <w:rsid w:val="00FD4884"/>
    <w:rsid w:val="00FD49D9"/>
    <w:rsid w:val="00FD5AEC"/>
    <w:rsid w:val="00FD78A6"/>
    <w:rsid w:val="00FE0653"/>
    <w:rsid w:val="00FE1336"/>
    <w:rsid w:val="00FE1403"/>
    <w:rsid w:val="00FE2841"/>
    <w:rsid w:val="00FE35C7"/>
    <w:rsid w:val="00FE4E42"/>
    <w:rsid w:val="00FE78ED"/>
    <w:rsid w:val="00FF0516"/>
    <w:rsid w:val="00FF072B"/>
    <w:rsid w:val="00FF0D53"/>
    <w:rsid w:val="00FF66AC"/>
    <w:rsid w:val="00FF786B"/>
    <w:rsid w:val="0ED609C6"/>
    <w:rsid w:val="0F1CA3A0"/>
    <w:rsid w:val="1E481B0C"/>
    <w:rsid w:val="47EA735C"/>
    <w:rsid w:val="5DF1573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BFA321"/>
  <w15:docId w15:val="{9AD849D9-07AA-4BC2-924E-C19C5CABF0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77A5"/>
    <w:rPr>
      <w:rFonts w:ascii="Times New Roman" w:eastAsia="Times New Roman" w:hAnsi="Times New Roman" w:cs="Times New Roman"/>
      <w:kern w:val="0"/>
      <w:lang w:eastAsia="en-GB"/>
      <w14:ligatures w14:val="none"/>
    </w:rPr>
  </w:style>
  <w:style w:type="paragraph" w:styleId="Heading1">
    <w:name w:val="heading 1"/>
    <w:basedOn w:val="Normal"/>
    <w:next w:val="Normal"/>
    <w:link w:val="Heading1Char"/>
    <w:uiPriority w:val="9"/>
    <w:qFormat/>
    <w:rsid w:val="009F5B6E"/>
    <w:pPr>
      <w:keepNext/>
      <w:keepLines/>
      <w:numPr>
        <w:numId w:val="3"/>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F5B6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31241"/>
    <w:pPr>
      <w:keepNext/>
      <w:keepLines/>
      <w:spacing w:before="40"/>
      <w:outlineLvl w:val="2"/>
    </w:pPr>
    <w:rPr>
      <w:rFonts w:asciiTheme="majorHAnsi" w:eastAsiaTheme="majorEastAsia" w:hAnsiTheme="majorHAnsi" w:cstheme="majorBidi"/>
      <w:color w:val="1F3763" w:themeColor="accent1" w:themeShade="7F"/>
      <w:sz w:val="22"/>
    </w:rPr>
  </w:style>
  <w:style w:type="paragraph" w:styleId="Heading4">
    <w:name w:val="heading 4"/>
    <w:basedOn w:val="Normal"/>
    <w:link w:val="Heading4Char"/>
    <w:uiPriority w:val="9"/>
    <w:qFormat/>
    <w:rsid w:val="001B70CE"/>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Citation List,List Paragraph (numbered (a)),references,List Paragraph1,List Item,LIST OF TABLES.,Colorful List - Accent 12,Proposal Heading 1.1,List Paragraph11,lp1,Bullet paras,Use Case List Paragraph,Main numbered paragraph,Bullets"/>
    <w:basedOn w:val="Normal"/>
    <w:link w:val="ListParagraphChar"/>
    <w:qFormat/>
    <w:rsid w:val="00FC5377"/>
    <w:pPr>
      <w:ind w:left="720"/>
      <w:contextualSpacing/>
    </w:pPr>
  </w:style>
  <w:style w:type="character" w:customStyle="1" w:styleId="Heading4Char">
    <w:name w:val="Heading 4 Char"/>
    <w:basedOn w:val="DefaultParagraphFont"/>
    <w:link w:val="Heading4"/>
    <w:uiPriority w:val="9"/>
    <w:rsid w:val="001B70CE"/>
    <w:rPr>
      <w:rFonts w:ascii="Times New Roman" w:eastAsia="Times New Roman" w:hAnsi="Times New Roman" w:cs="Times New Roman"/>
      <w:b/>
      <w:bCs/>
      <w:kern w:val="0"/>
      <w:lang w:eastAsia="en-GB"/>
      <w14:ligatures w14:val="none"/>
    </w:rPr>
  </w:style>
  <w:style w:type="character" w:customStyle="1" w:styleId="Heading3Char">
    <w:name w:val="Heading 3 Char"/>
    <w:basedOn w:val="DefaultParagraphFont"/>
    <w:link w:val="Heading3"/>
    <w:uiPriority w:val="9"/>
    <w:rsid w:val="00531241"/>
    <w:rPr>
      <w:rFonts w:asciiTheme="majorHAnsi" w:eastAsiaTheme="majorEastAsia" w:hAnsiTheme="majorHAnsi" w:cstheme="majorBidi"/>
      <w:color w:val="1F3763" w:themeColor="accent1" w:themeShade="7F"/>
      <w:kern w:val="0"/>
      <w:sz w:val="22"/>
      <w:lang w:eastAsia="en-GB"/>
      <w14:ligatures w14:val="none"/>
    </w:rPr>
  </w:style>
  <w:style w:type="table" w:styleId="TableGrid">
    <w:name w:val="Table Grid"/>
    <w:basedOn w:val="TableNormal"/>
    <w:uiPriority w:val="39"/>
    <w:rsid w:val="00FD3B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2B5AF7"/>
    <w:rPr>
      <w:sz w:val="20"/>
      <w:szCs w:val="20"/>
    </w:rPr>
  </w:style>
  <w:style w:type="character" w:customStyle="1" w:styleId="FootnoteTextChar">
    <w:name w:val="Footnote Text Char"/>
    <w:basedOn w:val="DefaultParagraphFont"/>
    <w:link w:val="FootnoteText"/>
    <w:uiPriority w:val="99"/>
    <w:rsid w:val="002B5AF7"/>
    <w:rPr>
      <w:rFonts w:ascii="Times New Roman" w:eastAsia="Times New Roman" w:hAnsi="Times New Roman" w:cs="Times New Roman"/>
      <w:kern w:val="0"/>
      <w:sz w:val="20"/>
      <w:szCs w:val="20"/>
      <w:lang w:eastAsia="en-GB"/>
      <w14:ligatures w14:val="none"/>
    </w:rPr>
  </w:style>
  <w:style w:type="character" w:styleId="FootnoteReference">
    <w:name w:val="footnote reference"/>
    <w:basedOn w:val="DefaultParagraphFont"/>
    <w:uiPriority w:val="99"/>
    <w:unhideWhenUsed/>
    <w:rsid w:val="002B5AF7"/>
    <w:rPr>
      <w:vertAlign w:val="superscript"/>
    </w:rPr>
  </w:style>
  <w:style w:type="paragraph" w:styleId="Header">
    <w:name w:val="header"/>
    <w:basedOn w:val="Normal"/>
    <w:link w:val="HeaderChar"/>
    <w:uiPriority w:val="99"/>
    <w:unhideWhenUsed/>
    <w:rsid w:val="002B5AF7"/>
    <w:pPr>
      <w:tabs>
        <w:tab w:val="center" w:pos="4513"/>
        <w:tab w:val="right" w:pos="9026"/>
      </w:tabs>
    </w:pPr>
  </w:style>
  <w:style w:type="character" w:customStyle="1" w:styleId="HeaderChar">
    <w:name w:val="Header Char"/>
    <w:basedOn w:val="DefaultParagraphFont"/>
    <w:link w:val="Header"/>
    <w:uiPriority w:val="99"/>
    <w:rsid w:val="002B5AF7"/>
    <w:rPr>
      <w:rFonts w:ascii="Times New Roman" w:eastAsia="Times New Roman" w:hAnsi="Times New Roman" w:cs="Times New Roman"/>
      <w:kern w:val="0"/>
      <w:lang w:eastAsia="en-GB"/>
      <w14:ligatures w14:val="none"/>
    </w:rPr>
  </w:style>
  <w:style w:type="paragraph" w:styleId="Footer">
    <w:name w:val="footer"/>
    <w:basedOn w:val="Normal"/>
    <w:link w:val="FooterChar"/>
    <w:uiPriority w:val="99"/>
    <w:unhideWhenUsed/>
    <w:rsid w:val="002B5AF7"/>
    <w:pPr>
      <w:tabs>
        <w:tab w:val="center" w:pos="4513"/>
        <w:tab w:val="right" w:pos="9026"/>
      </w:tabs>
    </w:pPr>
  </w:style>
  <w:style w:type="character" w:customStyle="1" w:styleId="FooterChar">
    <w:name w:val="Footer Char"/>
    <w:basedOn w:val="DefaultParagraphFont"/>
    <w:link w:val="Footer"/>
    <w:uiPriority w:val="99"/>
    <w:rsid w:val="002B5AF7"/>
    <w:rPr>
      <w:rFonts w:ascii="Times New Roman" w:eastAsia="Times New Roman" w:hAnsi="Times New Roman" w:cs="Times New Roman"/>
      <w:kern w:val="0"/>
      <w:lang w:eastAsia="en-GB"/>
      <w14:ligatures w14:val="none"/>
    </w:rPr>
  </w:style>
  <w:style w:type="paragraph" w:styleId="EndnoteText">
    <w:name w:val="endnote text"/>
    <w:basedOn w:val="Normal"/>
    <w:link w:val="EndnoteTextChar"/>
    <w:uiPriority w:val="99"/>
    <w:semiHidden/>
    <w:unhideWhenUsed/>
    <w:rsid w:val="00B067F9"/>
    <w:rPr>
      <w:sz w:val="20"/>
      <w:szCs w:val="20"/>
    </w:rPr>
  </w:style>
  <w:style w:type="character" w:customStyle="1" w:styleId="EndnoteTextChar">
    <w:name w:val="Endnote Text Char"/>
    <w:basedOn w:val="DefaultParagraphFont"/>
    <w:link w:val="EndnoteText"/>
    <w:uiPriority w:val="99"/>
    <w:semiHidden/>
    <w:rsid w:val="00B067F9"/>
    <w:rPr>
      <w:rFonts w:ascii="Times New Roman" w:eastAsia="Times New Roman" w:hAnsi="Times New Roman" w:cs="Times New Roman"/>
      <w:kern w:val="0"/>
      <w:sz w:val="20"/>
      <w:szCs w:val="20"/>
      <w:lang w:eastAsia="en-GB"/>
      <w14:ligatures w14:val="none"/>
    </w:rPr>
  </w:style>
  <w:style w:type="character" w:styleId="EndnoteReference">
    <w:name w:val="endnote reference"/>
    <w:basedOn w:val="DefaultParagraphFont"/>
    <w:uiPriority w:val="99"/>
    <w:semiHidden/>
    <w:unhideWhenUsed/>
    <w:rsid w:val="00B067F9"/>
    <w:rPr>
      <w:vertAlign w:val="superscript"/>
    </w:rPr>
  </w:style>
  <w:style w:type="character" w:styleId="PageNumber">
    <w:name w:val="page number"/>
    <w:basedOn w:val="DefaultParagraphFont"/>
    <w:uiPriority w:val="99"/>
    <w:semiHidden/>
    <w:unhideWhenUsed/>
    <w:rsid w:val="00841B61"/>
  </w:style>
  <w:style w:type="paragraph" w:styleId="Revision">
    <w:name w:val="Revision"/>
    <w:hidden/>
    <w:uiPriority w:val="99"/>
    <w:semiHidden/>
    <w:rsid w:val="00A75744"/>
    <w:rPr>
      <w:rFonts w:ascii="Times New Roman" w:eastAsia="Times New Roman" w:hAnsi="Times New Roman" w:cs="Times New Roman"/>
      <w:kern w:val="0"/>
      <w:lang w:eastAsia="en-GB"/>
      <w14:ligatures w14:val="none"/>
    </w:rPr>
  </w:style>
  <w:style w:type="character" w:styleId="CommentReference">
    <w:name w:val="annotation reference"/>
    <w:basedOn w:val="DefaultParagraphFont"/>
    <w:uiPriority w:val="99"/>
    <w:semiHidden/>
    <w:unhideWhenUsed/>
    <w:rsid w:val="00A7583C"/>
    <w:rPr>
      <w:sz w:val="16"/>
      <w:szCs w:val="16"/>
    </w:rPr>
  </w:style>
  <w:style w:type="paragraph" w:styleId="CommentText">
    <w:name w:val="annotation text"/>
    <w:basedOn w:val="Normal"/>
    <w:link w:val="CommentTextChar"/>
    <w:uiPriority w:val="99"/>
    <w:unhideWhenUsed/>
    <w:rsid w:val="00A7583C"/>
    <w:rPr>
      <w:sz w:val="20"/>
      <w:szCs w:val="20"/>
    </w:rPr>
  </w:style>
  <w:style w:type="character" w:customStyle="1" w:styleId="CommentTextChar">
    <w:name w:val="Comment Text Char"/>
    <w:basedOn w:val="DefaultParagraphFont"/>
    <w:link w:val="CommentText"/>
    <w:uiPriority w:val="99"/>
    <w:rsid w:val="00A7583C"/>
    <w:rPr>
      <w:rFonts w:ascii="Times New Roman" w:eastAsia="Times New Roman" w:hAnsi="Times New Roman" w:cs="Times New Roman"/>
      <w:kern w:val="0"/>
      <w:sz w:val="20"/>
      <w:szCs w:val="20"/>
      <w:lang w:eastAsia="en-GB"/>
      <w14:ligatures w14:val="none"/>
    </w:rPr>
  </w:style>
  <w:style w:type="paragraph" w:styleId="CommentSubject">
    <w:name w:val="annotation subject"/>
    <w:basedOn w:val="CommentText"/>
    <w:next w:val="CommentText"/>
    <w:link w:val="CommentSubjectChar"/>
    <w:uiPriority w:val="99"/>
    <w:semiHidden/>
    <w:unhideWhenUsed/>
    <w:rsid w:val="00A7583C"/>
    <w:rPr>
      <w:b/>
      <w:bCs/>
    </w:rPr>
  </w:style>
  <w:style w:type="character" w:customStyle="1" w:styleId="CommentSubjectChar">
    <w:name w:val="Comment Subject Char"/>
    <w:basedOn w:val="CommentTextChar"/>
    <w:link w:val="CommentSubject"/>
    <w:uiPriority w:val="99"/>
    <w:semiHidden/>
    <w:rsid w:val="00A7583C"/>
    <w:rPr>
      <w:rFonts w:ascii="Times New Roman" w:eastAsia="Times New Roman" w:hAnsi="Times New Roman" w:cs="Times New Roman"/>
      <w:b/>
      <w:bCs/>
      <w:kern w:val="0"/>
      <w:sz w:val="20"/>
      <w:szCs w:val="20"/>
      <w:lang w:eastAsia="en-GB"/>
      <w14:ligatures w14:val="none"/>
    </w:rPr>
  </w:style>
  <w:style w:type="character" w:customStyle="1" w:styleId="Heading1Char">
    <w:name w:val="Heading 1 Char"/>
    <w:basedOn w:val="DefaultParagraphFont"/>
    <w:link w:val="Heading1"/>
    <w:uiPriority w:val="9"/>
    <w:rsid w:val="009F5B6E"/>
    <w:rPr>
      <w:rFonts w:asciiTheme="majorHAnsi" w:eastAsiaTheme="majorEastAsia" w:hAnsiTheme="majorHAnsi" w:cstheme="majorBidi"/>
      <w:color w:val="2F5496" w:themeColor="accent1" w:themeShade="BF"/>
      <w:kern w:val="0"/>
      <w:sz w:val="32"/>
      <w:szCs w:val="32"/>
      <w:lang w:eastAsia="en-GB"/>
      <w14:ligatures w14:val="none"/>
    </w:rPr>
  </w:style>
  <w:style w:type="character" w:customStyle="1" w:styleId="Heading2Char">
    <w:name w:val="Heading 2 Char"/>
    <w:basedOn w:val="DefaultParagraphFont"/>
    <w:link w:val="Heading2"/>
    <w:uiPriority w:val="9"/>
    <w:rsid w:val="009F5B6E"/>
    <w:rPr>
      <w:rFonts w:asciiTheme="majorHAnsi" w:eastAsiaTheme="majorEastAsia" w:hAnsiTheme="majorHAnsi" w:cstheme="majorBidi"/>
      <w:color w:val="2F5496" w:themeColor="accent1" w:themeShade="BF"/>
      <w:kern w:val="0"/>
      <w:sz w:val="26"/>
      <w:szCs w:val="26"/>
      <w:lang w:eastAsia="en-GB"/>
      <w14:ligatures w14:val="none"/>
    </w:rPr>
  </w:style>
  <w:style w:type="paragraph" w:styleId="TOCHeading">
    <w:name w:val="TOC Heading"/>
    <w:basedOn w:val="Heading1"/>
    <w:next w:val="Normal"/>
    <w:uiPriority w:val="39"/>
    <w:unhideWhenUsed/>
    <w:qFormat/>
    <w:rsid w:val="009F5B6E"/>
    <w:pPr>
      <w:numPr>
        <w:numId w:val="0"/>
      </w:numPr>
      <w:spacing w:before="480" w:line="276" w:lineRule="auto"/>
      <w:outlineLvl w:val="9"/>
    </w:pPr>
    <w:rPr>
      <w:b/>
      <w:bCs/>
      <w:sz w:val="28"/>
      <w:szCs w:val="28"/>
      <w:lang w:eastAsia="en-US"/>
    </w:rPr>
  </w:style>
  <w:style w:type="paragraph" w:styleId="TOC1">
    <w:name w:val="toc 1"/>
    <w:basedOn w:val="Normal"/>
    <w:next w:val="Normal"/>
    <w:autoRedefine/>
    <w:uiPriority w:val="39"/>
    <w:unhideWhenUsed/>
    <w:rsid w:val="007A755A"/>
    <w:pPr>
      <w:spacing w:before="120"/>
    </w:pPr>
    <w:rPr>
      <w:rFonts w:asciiTheme="minorHAnsi" w:hAnsiTheme="minorHAnsi" w:cstheme="minorHAnsi"/>
      <w:b/>
      <w:bCs/>
      <w:i/>
      <w:iCs/>
    </w:rPr>
  </w:style>
  <w:style w:type="paragraph" w:styleId="TOC3">
    <w:name w:val="toc 3"/>
    <w:basedOn w:val="Normal"/>
    <w:next w:val="Normal"/>
    <w:autoRedefine/>
    <w:uiPriority w:val="39"/>
    <w:unhideWhenUsed/>
    <w:rsid w:val="009F5B6E"/>
    <w:pPr>
      <w:ind w:left="480"/>
    </w:pPr>
    <w:rPr>
      <w:rFonts w:asciiTheme="minorHAnsi" w:hAnsiTheme="minorHAnsi" w:cstheme="minorHAnsi"/>
      <w:sz w:val="20"/>
      <w:szCs w:val="20"/>
    </w:rPr>
  </w:style>
  <w:style w:type="paragraph" w:styleId="TOC2">
    <w:name w:val="toc 2"/>
    <w:basedOn w:val="Normal"/>
    <w:next w:val="Normal"/>
    <w:autoRedefine/>
    <w:uiPriority w:val="39"/>
    <w:unhideWhenUsed/>
    <w:rsid w:val="009F5B6E"/>
    <w:pPr>
      <w:spacing w:before="120"/>
      <w:ind w:left="240"/>
    </w:pPr>
    <w:rPr>
      <w:rFonts w:asciiTheme="minorHAnsi" w:hAnsiTheme="minorHAnsi" w:cstheme="minorHAnsi"/>
      <w:b/>
      <w:bCs/>
      <w:sz w:val="22"/>
      <w:szCs w:val="22"/>
    </w:rPr>
  </w:style>
  <w:style w:type="paragraph" w:styleId="TOC4">
    <w:name w:val="toc 4"/>
    <w:basedOn w:val="Normal"/>
    <w:next w:val="Normal"/>
    <w:autoRedefine/>
    <w:uiPriority w:val="39"/>
    <w:unhideWhenUsed/>
    <w:rsid w:val="009F5B6E"/>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9F5B6E"/>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9F5B6E"/>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9F5B6E"/>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9F5B6E"/>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9F5B6E"/>
    <w:pPr>
      <w:ind w:left="1920"/>
    </w:pPr>
    <w:rPr>
      <w:rFonts w:asciiTheme="minorHAnsi" w:hAnsiTheme="minorHAnsi" w:cstheme="minorHAnsi"/>
      <w:sz w:val="20"/>
      <w:szCs w:val="20"/>
    </w:rPr>
  </w:style>
  <w:style w:type="character" w:styleId="Hyperlink">
    <w:name w:val="Hyperlink"/>
    <w:basedOn w:val="DefaultParagraphFont"/>
    <w:uiPriority w:val="99"/>
    <w:unhideWhenUsed/>
    <w:rsid w:val="009F5B6E"/>
    <w:rPr>
      <w:color w:val="0563C1" w:themeColor="hyperlink"/>
      <w:u w:val="single"/>
    </w:rPr>
  </w:style>
  <w:style w:type="character" w:styleId="UnresolvedMention">
    <w:name w:val="Unresolved Mention"/>
    <w:basedOn w:val="DefaultParagraphFont"/>
    <w:uiPriority w:val="99"/>
    <w:semiHidden/>
    <w:unhideWhenUsed/>
    <w:rsid w:val="009F5B6E"/>
    <w:rPr>
      <w:color w:val="605E5C"/>
      <w:shd w:val="clear" w:color="auto" w:fill="E1DFDD"/>
    </w:rPr>
  </w:style>
  <w:style w:type="paragraph" w:styleId="Caption">
    <w:name w:val="caption"/>
    <w:basedOn w:val="Normal"/>
    <w:next w:val="Normal"/>
    <w:uiPriority w:val="35"/>
    <w:unhideWhenUsed/>
    <w:qFormat/>
    <w:rsid w:val="004009CA"/>
    <w:pPr>
      <w:spacing w:after="200"/>
    </w:pPr>
    <w:rPr>
      <w:i/>
      <w:iCs/>
      <w:color w:val="44546A" w:themeColor="text2"/>
      <w:sz w:val="18"/>
      <w:szCs w:val="18"/>
    </w:rPr>
  </w:style>
  <w:style w:type="paragraph" w:styleId="TableofFigures">
    <w:name w:val="table of figures"/>
    <w:basedOn w:val="Normal"/>
    <w:next w:val="Normal"/>
    <w:uiPriority w:val="99"/>
    <w:unhideWhenUsed/>
    <w:rsid w:val="00FB0DA0"/>
  </w:style>
  <w:style w:type="paragraph" w:customStyle="1" w:styleId="Title1">
    <w:name w:val="Title1"/>
    <w:basedOn w:val="Normal"/>
    <w:rsid w:val="00062CF6"/>
    <w:pPr>
      <w:spacing w:before="100" w:beforeAutospacing="1" w:after="100" w:afterAutospacing="1"/>
    </w:pPr>
  </w:style>
  <w:style w:type="paragraph" w:customStyle="1" w:styleId="info">
    <w:name w:val="info"/>
    <w:basedOn w:val="Normal"/>
    <w:rsid w:val="00062CF6"/>
    <w:pPr>
      <w:spacing w:before="100" w:beforeAutospacing="1" w:after="100" w:afterAutospacing="1"/>
    </w:pPr>
  </w:style>
  <w:style w:type="character" w:styleId="Strong">
    <w:name w:val="Strong"/>
    <w:basedOn w:val="DefaultParagraphFont"/>
    <w:uiPriority w:val="22"/>
    <w:qFormat/>
    <w:rsid w:val="00470F9D"/>
    <w:rPr>
      <w:b/>
      <w:bCs/>
    </w:rPr>
  </w:style>
  <w:style w:type="character" w:styleId="BookTitle">
    <w:name w:val="Book Title"/>
    <w:basedOn w:val="DefaultParagraphFont"/>
    <w:uiPriority w:val="33"/>
    <w:qFormat/>
    <w:rsid w:val="00470F9D"/>
    <w:rPr>
      <w:b/>
      <w:bCs/>
      <w:i/>
      <w:iCs/>
      <w:spacing w:val="5"/>
    </w:rPr>
  </w:style>
  <w:style w:type="paragraph" w:styleId="IntenseQuote">
    <w:name w:val="Intense Quote"/>
    <w:basedOn w:val="Normal"/>
    <w:next w:val="Normal"/>
    <w:link w:val="IntenseQuoteChar"/>
    <w:uiPriority w:val="30"/>
    <w:qFormat/>
    <w:rsid w:val="00470F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470F9D"/>
    <w:rPr>
      <w:rFonts w:ascii="Times New Roman" w:eastAsia="Times New Roman" w:hAnsi="Times New Roman" w:cs="Times New Roman"/>
      <w:i/>
      <w:iCs/>
      <w:color w:val="4472C4" w:themeColor="accent1"/>
      <w:kern w:val="0"/>
      <w:lang w:eastAsia="en-GB"/>
      <w14:ligatures w14:val="none"/>
    </w:rPr>
  </w:style>
  <w:style w:type="character" w:styleId="IntenseReference">
    <w:name w:val="Intense Reference"/>
    <w:basedOn w:val="DefaultParagraphFont"/>
    <w:uiPriority w:val="32"/>
    <w:qFormat/>
    <w:rsid w:val="00470F9D"/>
    <w:rPr>
      <w:b/>
      <w:bCs/>
      <w:smallCaps/>
      <w:color w:val="4472C4" w:themeColor="accent1"/>
      <w:spacing w:val="5"/>
    </w:rPr>
  </w:style>
  <w:style w:type="paragraph" w:styleId="NormalWeb">
    <w:name w:val="Normal (Web)"/>
    <w:basedOn w:val="Normal"/>
    <w:uiPriority w:val="99"/>
    <w:unhideWhenUsed/>
    <w:rsid w:val="00035776"/>
    <w:pPr>
      <w:spacing w:before="100" w:beforeAutospacing="1" w:after="100" w:afterAutospacing="1"/>
    </w:pPr>
    <w:rPr>
      <w:lang w:eastAsia="en-US"/>
    </w:rPr>
  </w:style>
  <w:style w:type="character" w:customStyle="1" w:styleId="A1">
    <w:name w:val="A1"/>
    <w:uiPriority w:val="99"/>
    <w:rsid w:val="00814086"/>
    <w:rPr>
      <w:rFonts w:cs="Source Sans Pro"/>
      <w:color w:val="5B5B5B"/>
    </w:rPr>
  </w:style>
  <w:style w:type="character" w:styleId="Mention">
    <w:name w:val="Mention"/>
    <w:basedOn w:val="DefaultParagraphFont"/>
    <w:uiPriority w:val="99"/>
    <w:unhideWhenUsed/>
    <w:rsid w:val="00A247F5"/>
    <w:rPr>
      <w:color w:val="2B579A"/>
      <w:shd w:val="clear" w:color="auto" w:fill="E1DFDD"/>
    </w:rPr>
  </w:style>
  <w:style w:type="paragraph" w:styleId="NoSpacing">
    <w:name w:val="No Spacing"/>
    <w:uiPriority w:val="1"/>
    <w:qFormat/>
    <w:rsid w:val="00B97958"/>
    <w:rPr>
      <w:rFonts w:ascii="Times New Roman" w:eastAsia="Times New Roman" w:hAnsi="Times New Roman" w:cs="Times New Roman"/>
      <w:kern w:val="0"/>
      <w:lang w:eastAsia="en-GB"/>
      <w14:ligatures w14:val="none"/>
    </w:rPr>
  </w:style>
  <w:style w:type="character" w:customStyle="1" w:styleId="outlook-search-highlight">
    <w:name w:val="outlook-search-highlight"/>
    <w:basedOn w:val="DefaultParagraphFont"/>
    <w:rsid w:val="00721133"/>
  </w:style>
  <w:style w:type="character" w:customStyle="1" w:styleId="apple-converted-space">
    <w:name w:val="apple-converted-space"/>
    <w:basedOn w:val="DefaultParagraphFont"/>
    <w:rsid w:val="00A04A2E"/>
  </w:style>
  <w:style w:type="table" w:styleId="TableGridLight">
    <w:name w:val="Grid Table Light"/>
    <w:basedOn w:val="TableNormal"/>
    <w:uiPriority w:val="40"/>
    <w:rsid w:val="00F4660B"/>
    <w:rPr>
      <w:sz w:val="22"/>
      <w:szCs w:val="22"/>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Citation List Char,List Paragraph (numbered (a)) Char,references Char,List Paragraph1 Char,List Item Char,LIST OF TABLES. Char,Colorful List - Accent 12 Char,Proposal Heading 1.1 Char,List Paragraph11 Char,lp1 Char,Bullet paras Char"/>
    <w:link w:val="ListParagraph"/>
    <w:qFormat/>
    <w:rsid w:val="00157082"/>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395829">
      <w:bodyDiv w:val="1"/>
      <w:marLeft w:val="0"/>
      <w:marRight w:val="0"/>
      <w:marTop w:val="0"/>
      <w:marBottom w:val="0"/>
      <w:divBdr>
        <w:top w:val="none" w:sz="0" w:space="0" w:color="auto"/>
        <w:left w:val="none" w:sz="0" w:space="0" w:color="auto"/>
        <w:bottom w:val="none" w:sz="0" w:space="0" w:color="auto"/>
        <w:right w:val="none" w:sz="0" w:space="0" w:color="auto"/>
      </w:divBdr>
      <w:divsChild>
        <w:div w:id="1737586579">
          <w:marLeft w:val="0"/>
          <w:marRight w:val="0"/>
          <w:marTop w:val="0"/>
          <w:marBottom w:val="0"/>
          <w:divBdr>
            <w:top w:val="none" w:sz="0" w:space="0" w:color="auto"/>
            <w:left w:val="none" w:sz="0" w:space="0" w:color="auto"/>
            <w:bottom w:val="none" w:sz="0" w:space="0" w:color="auto"/>
            <w:right w:val="none" w:sz="0" w:space="0" w:color="auto"/>
          </w:divBdr>
        </w:div>
      </w:divsChild>
    </w:div>
    <w:div w:id="27533360">
      <w:bodyDiv w:val="1"/>
      <w:marLeft w:val="0"/>
      <w:marRight w:val="0"/>
      <w:marTop w:val="0"/>
      <w:marBottom w:val="0"/>
      <w:divBdr>
        <w:top w:val="none" w:sz="0" w:space="0" w:color="auto"/>
        <w:left w:val="none" w:sz="0" w:space="0" w:color="auto"/>
        <w:bottom w:val="none" w:sz="0" w:space="0" w:color="auto"/>
        <w:right w:val="none" w:sz="0" w:space="0" w:color="auto"/>
      </w:divBdr>
      <w:divsChild>
        <w:div w:id="2015912750">
          <w:marLeft w:val="0"/>
          <w:marRight w:val="0"/>
          <w:marTop w:val="0"/>
          <w:marBottom w:val="0"/>
          <w:divBdr>
            <w:top w:val="none" w:sz="0" w:space="0" w:color="auto"/>
            <w:left w:val="none" w:sz="0" w:space="0" w:color="auto"/>
            <w:bottom w:val="none" w:sz="0" w:space="0" w:color="auto"/>
            <w:right w:val="none" w:sz="0" w:space="0" w:color="auto"/>
          </w:divBdr>
          <w:divsChild>
            <w:div w:id="204024451">
              <w:marLeft w:val="0"/>
              <w:marRight w:val="0"/>
              <w:marTop w:val="0"/>
              <w:marBottom w:val="0"/>
              <w:divBdr>
                <w:top w:val="none" w:sz="0" w:space="0" w:color="auto"/>
                <w:left w:val="none" w:sz="0" w:space="0" w:color="auto"/>
                <w:bottom w:val="none" w:sz="0" w:space="0" w:color="auto"/>
                <w:right w:val="none" w:sz="0" w:space="0" w:color="auto"/>
              </w:divBdr>
              <w:divsChild>
                <w:div w:id="12354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45248">
      <w:bodyDiv w:val="1"/>
      <w:marLeft w:val="0"/>
      <w:marRight w:val="0"/>
      <w:marTop w:val="0"/>
      <w:marBottom w:val="0"/>
      <w:divBdr>
        <w:top w:val="none" w:sz="0" w:space="0" w:color="auto"/>
        <w:left w:val="none" w:sz="0" w:space="0" w:color="auto"/>
        <w:bottom w:val="none" w:sz="0" w:space="0" w:color="auto"/>
        <w:right w:val="none" w:sz="0" w:space="0" w:color="auto"/>
      </w:divBdr>
    </w:div>
    <w:div w:id="76874652">
      <w:bodyDiv w:val="1"/>
      <w:marLeft w:val="0"/>
      <w:marRight w:val="0"/>
      <w:marTop w:val="0"/>
      <w:marBottom w:val="0"/>
      <w:divBdr>
        <w:top w:val="none" w:sz="0" w:space="0" w:color="auto"/>
        <w:left w:val="none" w:sz="0" w:space="0" w:color="auto"/>
        <w:bottom w:val="none" w:sz="0" w:space="0" w:color="auto"/>
        <w:right w:val="none" w:sz="0" w:space="0" w:color="auto"/>
      </w:divBdr>
      <w:divsChild>
        <w:div w:id="179047343">
          <w:marLeft w:val="0"/>
          <w:marRight w:val="0"/>
          <w:marTop w:val="0"/>
          <w:marBottom w:val="0"/>
          <w:divBdr>
            <w:top w:val="none" w:sz="0" w:space="0" w:color="auto"/>
            <w:left w:val="none" w:sz="0" w:space="0" w:color="auto"/>
            <w:bottom w:val="none" w:sz="0" w:space="0" w:color="auto"/>
            <w:right w:val="none" w:sz="0" w:space="0" w:color="auto"/>
          </w:divBdr>
        </w:div>
        <w:div w:id="184371442">
          <w:marLeft w:val="0"/>
          <w:marRight w:val="0"/>
          <w:marTop w:val="0"/>
          <w:marBottom w:val="0"/>
          <w:divBdr>
            <w:top w:val="none" w:sz="0" w:space="0" w:color="auto"/>
            <w:left w:val="none" w:sz="0" w:space="0" w:color="auto"/>
            <w:bottom w:val="none" w:sz="0" w:space="0" w:color="auto"/>
            <w:right w:val="none" w:sz="0" w:space="0" w:color="auto"/>
          </w:divBdr>
        </w:div>
        <w:div w:id="269169044">
          <w:marLeft w:val="0"/>
          <w:marRight w:val="0"/>
          <w:marTop w:val="0"/>
          <w:marBottom w:val="0"/>
          <w:divBdr>
            <w:top w:val="none" w:sz="0" w:space="0" w:color="auto"/>
            <w:left w:val="none" w:sz="0" w:space="0" w:color="auto"/>
            <w:bottom w:val="none" w:sz="0" w:space="0" w:color="auto"/>
            <w:right w:val="none" w:sz="0" w:space="0" w:color="auto"/>
          </w:divBdr>
        </w:div>
        <w:div w:id="466171103">
          <w:marLeft w:val="0"/>
          <w:marRight w:val="0"/>
          <w:marTop w:val="0"/>
          <w:marBottom w:val="0"/>
          <w:divBdr>
            <w:top w:val="none" w:sz="0" w:space="0" w:color="auto"/>
            <w:left w:val="none" w:sz="0" w:space="0" w:color="auto"/>
            <w:bottom w:val="none" w:sz="0" w:space="0" w:color="auto"/>
            <w:right w:val="none" w:sz="0" w:space="0" w:color="auto"/>
          </w:divBdr>
        </w:div>
        <w:div w:id="825051653">
          <w:marLeft w:val="0"/>
          <w:marRight w:val="0"/>
          <w:marTop w:val="0"/>
          <w:marBottom w:val="0"/>
          <w:divBdr>
            <w:top w:val="none" w:sz="0" w:space="0" w:color="auto"/>
            <w:left w:val="none" w:sz="0" w:space="0" w:color="auto"/>
            <w:bottom w:val="none" w:sz="0" w:space="0" w:color="auto"/>
            <w:right w:val="none" w:sz="0" w:space="0" w:color="auto"/>
          </w:divBdr>
        </w:div>
        <w:div w:id="907765501">
          <w:marLeft w:val="0"/>
          <w:marRight w:val="0"/>
          <w:marTop w:val="0"/>
          <w:marBottom w:val="0"/>
          <w:divBdr>
            <w:top w:val="none" w:sz="0" w:space="0" w:color="auto"/>
            <w:left w:val="none" w:sz="0" w:space="0" w:color="auto"/>
            <w:bottom w:val="none" w:sz="0" w:space="0" w:color="auto"/>
            <w:right w:val="none" w:sz="0" w:space="0" w:color="auto"/>
          </w:divBdr>
        </w:div>
        <w:div w:id="919026856">
          <w:marLeft w:val="0"/>
          <w:marRight w:val="0"/>
          <w:marTop w:val="0"/>
          <w:marBottom w:val="0"/>
          <w:divBdr>
            <w:top w:val="none" w:sz="0" w:space="0" w:color="auto"/>
            <w:left w:val="none" w:sz="0" w:space="0" w:color="auto"/>
            <w:bottom w:val="none" w:sz="0" w:space="0" w:color="auto"/>
            <w:right w:val="none" w:sz="0" w:space="0" w:color="auto"/>
          </w:divBdr>
        </w:div>
        <w:div w:id="1086613642">
          <w:marLeft w:val="0"/>
          <w:marRight w:val="0"/>
          <w:marTop w:val="0"/>
          <w:marBottom w:val="0"/>
          <w:divBdr>
            <w:top w:val="none" w:sz="0" w:space="0" w:color="auto"/>
            <w:left w:val="none" w:sz="0" w:space="0" w:color="auto"/>
            <w:bottom w:val="none" w:sz="0" w:space="0" w:color="auto"/>
            <w:right w:val="none" w:sz="0" w:space="0" w:color="auto"/>
          </w:divBdr>
        </w:div>
        <w:div w:id="1087381492">
          <w:marLeft w:val="0"/>
          <w:marRight w:val="0"/>
          <w:marTop w:val="0"/>
          <w:marBottom w:val="0"/>
          <w:divBdr>
            <w:top w:val="none" w:sz="0" w:space="0" w:color="auto"/>
            <w:left w:val="none" w:sz="0" w:space="0" w:color="auto"/>
            <w:bottom w:val="none" w:sz="0" w:space="0" w:color="auto"/>
            <w:right w:val="none" w:sz="0" w:space="0" w:color="auto"/>
          </w:divBdr>
        </w:div>
        <w:div w:id="1179470745">
          <w:marLeft w:val="0"/>
          <w:marRight w:val="0"/>
          <w:marTop w:val="0"/>
          <w:marBottom w:val="0"/>
          <w:divBdr>
            <w:top w:val="none" w:sz="0" w:space="0" w:color="auto"/>
            <w:left w:val="none" w:sz="0" w:space="0" w:color="auto"/>
            <w:bottom w:val="none" w:sz="0" w:space="0" w:color="auto"/>
            <w:right w:val="none" w:sz="0" w:space="0" w:color="auto"/>
          </w:divBdr>
        </w:div>
        <w:div w:id="1674608176">
          <w:marLeft w:val="0"/>
          <w:marRight w:val="0"/>
          <w:marTop w:val="0"/>
          <w:marBottom w:val="0"/>
          <w:divBdr>
            <w:top w:val="none" w:sz="0" w:space="0" w:color="auto"/>
            <w:left w:val="none" w:sz="0" w:space="0" w:color="auto"/>
            <w:bottom w:val="none" w:sz="0" w:space="0" w:color="auto"/>
            <w:right w:val="none" w:sz="0" w:space="0" w:color="auto"/>
          </w:divBdr>
        </w:div>
        <w:div w:id="1696030842">
          <w:marLeft w:val="0"/>
          <w:marRight w:val="0"/>
          <w:marTop w:val="0"/>
          <w:marBottom w:val="0"/>
          <w:divBdr>
            <w:top w:val="none" w:sz="0" w:space="0" w:color="auto"/>
            <w:left w:val="none" w:sz="0" w:space="0" w:color="auto"/>
            <w:bottom w:val="none" w:sz="0" w:space="0" w:color="auto"/>
            <w:right w:val="none" w:sz="0" w:space="0" w:color="auto"/>
          </w:divBdr>
        </w:div>
      </w:divsChild>
    </w:div>
    <w:div w:id="87433001">
      <w:bodyDiv w:val="1"/>
      <w:marLeft w:val="0"/>
      <w:marRight w:val="0"/>
      <w:marTop w:val="0"/>
      <w:marBottom w:val="0"/>
      <w:divBdr>
        <w:top w:val="none" w:sz="0" w:space="0" w:color="auto"/>
        <w:left w:val="none" w:sz="0" w:space="0" w:color="auto"/>
        <w:bottom w:val="none" w:sz="0" w:space="0" w:color="auto"/>
        <w:right w:val="none" w:sz="0" w:space="0" w:color="auto"/>
      </w:divBdr>
    </w:div>
    <w:div w:id="94401122">
      <w:bodyDiv w:val="1"/>
      <w:marLeft w:val="0"/>
      <w:marRight w:val="0"/>
      <w:marTop w:val="0"/>
      <w:marBottom w:val="0"/>
      <w:divBdr>
        <w:top w:val="none" w:sz="0" w:space="0" w:color="auto"/>
        <w:left w:val="none" w:sz="0" w:space="0" w:color="auto"/>
        <w:bottom w:val="none" w:sz="0" w:space="0" w:color="auto"/>
        <w:right w:val="none" w:sz="0" w:space="0" w:color="auto"/>
      </w:divBdr>
      <w:divsChild>
        <w:div w:id="579681450">
          <w:marLeft w:val="0"/>
          <w:marRight w:val="0"/>
          <w:marTop w:val="0"/>
          <w:marBottom w:val="0"/>
          <w:divBdr>
            <w:top w:val="none" w:sz="0" w:space="0" w:color="auto"/>
            <w:left w:val="none" w:sz="0" w:space="0" w:color="auto"/>
            <w:bottom w:val="none" w:sz="0" w:space="0" w:color="auto"/>
            <w:right w:val="none" w:sz="0" w:space="0" w:color="auto"/>
          </w:divBdr>
        </w:div>
        <w:div w:id="677848171">
          <w:marLeft w:val="0"/>
          <w:marRight w:val="0"/>
          <w:marTop w:val="0"/>
          <w:marBottom w:val="0"/>
          <w:divBdr>
            <w:top w:val="none" w:sz="0" w:space="0" w:color="auto"/>
            <w:left w:val="none" w:sz="0" w:space="0" w:color="auto"/>
            <w:bottom w:val="none" w:sz="0" w:space="0" w:color="auto"/>
            <w:right w:val="none" w:sz="0" w:space="0" w:color="auto"/>
          </w:divBdr>
        </w:div>
        <w:div w:id="1821071056">
          <w:marLeft w:val="0"/>
          <w:marRight w:val="0"/>
          <w:marTop w:val="0"/>
          <w:marBottom w:val="0"/>
          <w:divBdr>
            <w:top w:val="none" w:sz="0" w:space="0" w:color="auto"/>
            <w:left w:val="none" w:sz="0" w:space="0" w:color="auto"/>
            <w:bottom w:val="none" w:sz="0" w:space="0" w:color="auto"/>
            <w:right w:val="none" w:sz="0" w:space="0" w:color="auto"/>
          </w:divBdr>
        </w:div>
        <w:div w:id="2110541947">
          <w:marLeft w:val="0"/>
          <w:marRight w:val="0"/>
          <w:marTop w:val="0"/>
          <w:marBottom w:val="0"/>
          <w:divBdr>
            <w:top w:val="none" w:sz="0" w:space="0" w:color="auto"/>
            <w:left w:val="none" w:sz="0" w:space="0" w:color="auto"/>
            <w:bottom w:val="none" w:sz="0" w:space="0" w:color="auto"/>
            <w:right w:val="none" w:sz="0" w:space="0" w:color="auto"/>
          </w:divBdr>
        </w:div>
      </w:divsChild>
    </w:div>
    <w:div w:id="104152514">
      <w:bodyDiv w:val="1"/>
      <w:marLeft w:val="0"/>
      <w:marRight w:val="0"/>
      <w:marTop w:val="0"/>
      <w:marBottom w:val="0"/>
      <w:divBdr>
        <w:top w:val="none" w:sz="0" w:space="0" w:color="auto"/>
        <w:left w:val="none" w:sz="0" w:space="0" w:color="auto"/>
        <w:bottom w:val="none" w:sz="0" w:space="0" w:color="auto"/>
        <w:right w:val="none" w:sz="0" w:space="0" w:color="auto"/>
      </w:divBdr>
      <w:divsChild>
        <w:div w:id="153112863">
          <w:marLeft w:val="0"/>
          <w:marRight w:val="0"/>
          <w:marTop w:val="0"/>
          <w:marBottom w:val="0"/>
          <w:divBdr>
            <w:top w:val="none" w:sz="0" w:space="0" w:color="auto"/>
            <w:left w:val="none" w:sz="0" w:space="0" w:color="auto"/>
            <w:bottom w:val="none" w:sz="0" w:space="0" w:color="auto"/>
            <w:right w:val="none" w:sz="0" w:space="0" w:color="auto"/>
          </w:divBdr>
        </w:div>
        <w:div w:id="637878977">
          <w:marLeft w:val="0"/>
          <w:marRight w:val="0"/>
          <w:marTop w:val="0"/>
          <w:marBottom w:val="0"/>
          <w:divBdr>
            <w:top w:val="none" w:sz="0" w:space="0" w:color="auto"/>
            <w:left w:val="none" w:sz="0" w:space="0" w:color="auto"/>
            <w:bottom w:val="none" w:sz="0" w:space="0" w:color="auto"/>
            <w:right w:val="none" w:sz="0" w:space="0" w:color="auto"/>
          </w:divBdr>
        </w:div>
        <w:div w:id="1682387631">
          <w:marLeft w:val="0"/>
          <w:marRight w:val="0"/>
          <w:marTop w:val="0"/>
          <w:marBottom w:val="0"/>
          <w:divBdr>
            <w:top w:val="none" w:sz="0" w:space="0" w:color="auto"/>
            <w:left w:val="none" w:sz="0" w:space="0" w:color="auto"/>
            <w:bottom w:val="none" w:sz="0" w:space="0" w:color="auto"/>
            <w:right w:val="none" w:sz="0" w:space="0" w:color="auto"/>
          </w:divBdr>
        </w:div>
        <w:div w:id="1970697130">
          <w:marLeft w:val="0"/>
          <w:marRight w:val="0"/>
          <w:marTop w:val="0"/>
          <w:marBottom w:val="0"/>
          <w:divBdr>
            <w:top w:val="none" w:sz="0" w:space="0" w:color="auto"/>
            <w:left w:val="none" w:sz="0" w:space="0" w:color="auto"/>
            <w:bottom w:val="none" w:sz="0" w:space="0" w:color="auto"/>
            <w:right w:val="none" w:sz="0" w:space="0" w:color="auto"/>
          </w:divBdr>
        </w:div>
        <w:div w:id="2000116946">
          <w:marLeft w:val="0"/>
          <w:marRight w:val="0"/>
          <w:marTop w:val="0"/>
          <w:marBottom w:val="0"/>
          <w:divBdr>
            <w:top w:val="none" w:sz="0" w:space="0" w:color="auto"/>
            <w:left w:val="none" w:sz="0" w:space="0" w:color="auto"/>
            <w:bottom w:val="none" w:sz="0" w:space="0" w:color="auto"/>
            <w:right w:val="none" w:sz="0" w:space="0" w:color="auto"/>
          </w:divBdr>
        </w:div>
        <w:div w:id="2080053979">
          <w:marLeft w:val="0"/>
          <w:marRight w:val="0"/>
          <w:marTop w:val="0"/>
          <w:marBottom w:val="0"/>
          <w:divBdr>
            <w:top w:val="none" w:sz="0" w:space="0" w:color="auto"/>
            <w:left w:val="none" w:sz="0" w:space="0" w:color="auto"/>
            <w:bottom w:val="none" w:sz="0" w:space="0" w:color="auto"/>
            <w:right w:val="none" w:sz="0" w:space="0" w:color="auto"/>
          </w:divBdr>
        </w:div>
      </w:divsChild>
    </w:div>
    <w:div w:id="159003027">
      <w:bodyDiv w:val="1"/>
      <w:marLeft w:val="0"/>
      <w:marRight w:val="0"/>
      <w:marTop w:val="0"/>
      <w:marBottom w:val="0"/>
      <w:divBdr>
        <w:top w:val="none" w:sz="0" w:space="0" w:color="auto"/>
        <w:left w:val="none" w:sz="0" w:space="0" w:color="auto"/>
        <w:bottom w:val="none" w:sz="0" w:space="0" w:color="auto"/>
        <w:right w:val="none" w:sz="0" w:space="0" w:color="auto"/>
      </w:divBdr>
      <w:divsChild>
        <w:div w:id="101194989">
          <w:marLeft w:val="274"/>
          <w:marRight w:val="0"/>
          <w:marTop w:val="0"/>
          <w:marBottom w:val="0"/>
          <w:divBdr>
            <w:top w:val="none" w:sz="0" w:space="0" w:color="auto"/>
            <w:left w:val="none" w:sz="0" w:space="0" w:color="auto"/>
            <w:bottom w:val="none" w:sz="0" w:space="0" w:color="auto"/>
            <w:right w:val="none" w:sz="0" w:space="0" w:color="auto"/>
          </w:divBdr>
        </w:div>
        <w:div w:id="283002867">
          <w:marLeft w:val="274"/>
          <w:marRight w:val="0"/>
          <w:marTop w:val="0"/>
          <w:marBottom w:val="0"/>
          <w:divBdr>
            <w:top w:val="none" w:sz="0" w:space="0" w:color="auto"/>
            <w:left w:val="none" w:sz="0" w:space="0" w:color="auto"/>
            <w:bottom w:val="none" w:sz="0" w:space="0" w:color="auto"/>
            <w:right w:val="none" w:sz="0" w:space="0" w:color="auto"/>
          </w:divBdr>
        </w:div>
        <w:div w:id="403721974">
          <w:marLeft w:val="274"/>
          <w:marRight w:val="0"/>
          <w:marTop w:val="0"/>
          <w:marBottom w:val="0"/>
          <w:divBdr>
            <w:top w:val="none" w:sz="0" w:space="0" w:color="auto"/>
            <w:left w:val="none" w:sz="0" w:space="0" w:color="auto"/>
            <w:bottom w:val="none" w:sz="0" w:space="0" w:color="auto"/>
            <w:right w:val="none" w:sz="0" w:space="0" w:color="auto"/>
          </w:divBdr>
        </w:div>
        <w:div w:id="1032264666">
          <w:marLeft w:val="274"/>
          <w:marRight w:val="0"/>
          <w:marTop w:val="0"/>
          <w:marBottom w:val="0"/>
          <w:divBdr>
            <w:top w:val="none" w:sz="0" w:space="0" w:color="auto"/>
            <w:left w:val="none" w:sz="0" w:space="0" w:color="auto"/>
            <w:bottom w:val="none" w:sz="0" w:space="0" w:color="auto"/>
            <w:right w:val="none" w:sz="0" w:space="0" w:color="auto"/>
          </w:divBdr>
        </w:div>
        <w:div w:id="1818572243">
          <w:marLeft w:val="274"/>
          <w:marRight w:val="0"/>
          <w:marTop w:val="0"/>
          <w:marBottom w:val="0"/>
          <w:divBdr>
            <w:top w:val="none" w:sz="0" w:space="0" w:color="auto"/>
            <w:left w:val="none" w:sz="0" w:space="0" w:color="auto"/>
            <w:bottom w:val="none" w:sz="0" w:space="0" w:color="auto"/>
            <w:right w:val="none" w:sz="0" w:space="0" w:color="auto"/>
          </w:divBdr>
        </w:div>
      </w:divsChild>
    </w:div>
    <w:div w:id="160050988">
      <w:bodyDiv w:val="1"/>
      <w:marLeft w:val="0"/>
      <w:marRight w:val="0"/>
      <w:marTop w:val="0"/>
      <w:marBottom w:val="0"/>
      <w:divBdr>
        <w:top w:val="none" w:sz="0" w:space="0" w:color="auto"/>
        <w:left w:val="none" w:sz="0" w:space="0" w:color="auto"/>
        <w:bottom w:val="none" w:sz="0" w:space="0" w:color="auto"/>
        <w:right w:val="none" w:sz="0" w:space="0" w:color="auto"/>
      </w:divBdr>
    </w:div>
    <w:div w:id="205608051">
      <w:bodyDiv w:val="1"/>
      <w:marLeft w:val="0"/>
      <w:marRight w:val="0"/>
      <w:marTop w:val="0"/>
      <w:marBottom w:val="0"/>
      <w:divBdr>
        <w:top w:val="none" w:sz="0" w:space="0" w:color="auto"/>
        <w:left w:val="none" w:sz="0" w:space="0" w:color="auto"/>
        <w:bottom w:val="none" w:sz="0" w:space="0" w:color="auto"/>
        <w:right w:val="none" w:sz="0" w:space="0" w:color="auto"/>
      </w:divBdr>
      <w:divsChild>
        <w:div w:id="736055056">
          <w:marLeft w:val="0"/>
          <w:marRight w:val="0"/>
          <w:marTop w:val="0"/>
          <w:marBottom w:val="0"/>
          <w:divBdr>
            <w:top w:val="none" w:sz="0" w:space="0" w:color="auto"/>
            <w:left w:val="none" w:sz="0" w:space="0" w:color="auto"/>
            <w:bottom w:val="none" w:sz="0" w:space="0" w:color="auto"/>
            <w:right w:val="none" w:sz="0" w:space="0" w:color="auto"/>
          </w:divBdr>
        </w:div>
        <w:div w:id="754010278">
          <w:marLeft w:val="0"/>
          <w:marRight w:val="0"/>
          <w:marTop w:val="0"/>
          <w:marBottom w:val="0"/>
          <w:divBdr>
            <w:top w:val="none" w:sz="0" w:space="0" w:color="auto"/>
            <w:left w:val="none" w:sz="0" w:space="0" w:color="auto"/>
            <w:bottom w:val="none" w:sz="0" w:space="0" w:color="auto"/>
            <w:right w:val="none" w:sz="0" w:space="0" w:color="auto"/>
          </w:divBdr>
        </w:div>
        <w:div w:id="786000515">
          <w:marLeft w:val="0"/>
          <w:marRight w:val="0"/>
          <w:marTop w:val="0"/>
          <w:marBottom w:val="0"/>
          <w:divBdr>
            <w:top w:val="none" w:sz="0" w:space="0" w:color="auto"/>
            <w:left w:val="none" w:sz="0" w:space="0" w:color="auto"/>
            <w:bottom w:val="none" w:sz="0" w:space="0" w:color="auto"/>
            <w:right w:val="none" w:sz="0" w:space="0" w:color="auto"/>
          </w:divBdr>
        </w:div>
        <w:div w:id="1489444142">
          <w:marLeft w:val="0"/>
          <w:marRight w:val="0"/>
          <w:marTop w:val="0"/>
          <w:marBottom w:val="0"/>
          <w:divBdr>
            <w:top w:val="none" w:sz="0" w:space="0" w:color="auto"/>
            <w:left w:val="none" w:sz="0" w:space="0" w:color="auto"/>
            <w:bottom w:val="none" w:sz="0" w:space="0" w:color="auto"/>
            <w:right w:val="none" w:sz="0" w:space="0" w:color="auto"/>
          </w:divBdr>
        </w:div>
      </w:divsChild>
    </w:div>
    <w:div w:id="212691792">
      <w:bodyDiv w:val="1"/>
      <w:marLeft w:val="0"/>
      <w:marRight w:val="0"/>
      <w:marTop w:val="0"/>
      <w:marBottom w:val="0"/>
      <w:divBdr>
        <w:top w:val="none" w:sz="0" w:space="0" w:color="auto"/>
        <w:left w:val="none" w:sz="0" w:space="0" w:color="auto"/>
        <w:bottom w:val="none" w:sz="0" w:space="0" w:color="auto"/>
        <w:right w:val="none" w:sz="0" w:space="0" w:color="auto"/>
      </w:divBdr>
    </w:div>
    <w:div w:id="216405425">
      <w:bodyDiv w:val="1"/>
      <w:marLeft w:val="0"/>
      <w:marRight w:val="0"/>
      <w:marTop w:val="0"/>
      <w:marBottom w:val="0"/>
      <w:divBdr>
        <w:top w:val="none" w:sz="0" w:space="0" w:color="auto"/>
        <w:left w:val="none" w:sz="0" w:space="0" w:color="auto"/>
        <w:bottom w:val="none" w:sz="0" w:space="0" w:color="auto"/>
        <w:right w:val="none" w:sz="0" w:space="0" w:color="auto"/>
      </w:divBdr>
      <w:divsChild>
        <w:div w:id="1097677014">
          <w:marLeft w:val="0"/>
          <w:marRight w:val="0"/>
          <w:marTop w:val="0"/>
          <w:marBottom w:val="0"/>
          <w:divBdr>
            <w:top w:val="none" w:sz="0" w:space="0" w:color="auto"/>
            <w:left w:val="none" w:sz="0" w:space="0" w:color="auto"/>
            <w:bottom w:val="none" w:sz="0" w:space="0" w:color="auto"/>
            <w:right w:val="none" w:sz="0" w:space="0" w:color="auto"/>
          </w:divBdr>
        </w:div>
      </w:divsChild>
    </w:div>
    <w:div w:id="225336944">
      <w:bodyDiv w:val="1"/>
      <w:marLeft w:val="0"/>
      <w:marRight w:val="0"/>
      <w:marTop w:val="0"/>
      <w:marBottom w:val="0"/>
      <w:divBdr>
        <w:top w:val="none" w:sz="0" w:space="0" w:color="auto"/>
        <w:left w:val="none" w:sz="0" w:space="0" w:color="auto"/>
        <w:bottom w:val="none" w:sz="0" w:space="0" w:color="auto"/>
        <w:right w:val="none" w:sz="0" w:space="0" w:color="auto"/>
      </w:divBdr>
      <w:divsChild>
        <w:div w:id="136648228">
          <w:marLeft w:val="0"/>
          <w:marRight w:val="0"/>
          <w:marTop w:val="0"/>
          <w:marBottom w:val="0"/>
          <w:divBdr>
            <w:top w:val="none" w:sz="0" w:space="0" w:color="auto"/>
            <w:left w:val="none" w:sz="0" w:space="0" w:color="auto"/>
            <w:bottom w:val="none" w:sz="0" w:space="0" w:color="auto"/>
            <w:right w:val="none" w:sz="0" w:space="0" w:color="auto"/>
          </w:divBdr>
        </w:div>
        <w:div w:id="638653602">
          <w:marLeft w:val="0"/>
          <w:marRight w:val="0"/>
          <w:marTop w:val="0"/>
          <w:marBottom w:val="0"/>
          <w:divBdr>
            <w:top w:val="none" w:sz="0" w:space="0" w:color="auto"/>
            <w:left w:val="none" w:sz="0" w:space="0" w:color="auto"/>
            <w:bottom w:val="none" w:sz="0" w:space="0" w:color="auto"/>
            <w:right w:val="none" w:sz="0" w:space="0" w:color="auto"/>
          </w:divBdr>
        </w:div>
        <w:div w:id="1971936610">
          <w:marLeft w:val="0"/>
          <w:marRight w:val="0"/>
          <w:marTop w:val="0"/>
          <w:marBottom w:val="0"/>
          <w:divBdr>
            <w:top w:val="none" w:sz="0" w:space="0" w:color="auto"/>
            <w:left w:val="none" w:sz="0" w:space="0" w:color="auto"/>
            <w:bottom w:val="none" w:sz="0" w:space="0" w:color="auto"/>
            <w:right w:val="none" w:sz="0" w:space="0" w:color="auto"/>
          </w:divBdr>
        </w:div>
      </w:divsChild>
    </w:div>
    <w:div w:id="249580874">
      <w:bodyDiv w:val="1"/>
      <w:marLeft w:val="0"/>
      <w:marRight w:val="0"/>
      <w:marTop w:val="0"/>
      <w:marBottom w:val="0"/>
      <w:divBdr>
        <w:top w:val="none" w:sz="0" w:space="0" w:color="auto"/>
        <w:left w:val="none" w:sz="0" w:space="0" w:color="auto"/>
        <w:bottom w:val="none" w:sz="0" w:space="0" w:color="auto"/>
        <w:right w:val="none" w:sz="0" w:space="0" w:color="auto"/>
      </w:divBdr>
    </w:div>
    <w:div w:id="271983348">
      <w:bodyDiv w:val="1"/>
      <w:marLeft w:val="0"/>
      <w:marRight w:val="0"/>
      <w:marTop w:val="0"/>
      <w:marBottom w:val="0"/>
      <w:divBdr>
        <w:top w:val="none" w:sz="0" w:space="0" w:color="auto"/>
        <w:left w:val="none" w:sz="0" w:space="0" w:color="auto"/>
        <w:bottom w:val="none" w:sz="0" w:space="0" w:color="auto"/>
        <w:right w:val="none" w:sz="0" w:space="0" w:color="auto"/>
      </w:divBdr>
      <w:divsChild>
        <w:div w:id="1470187">
          <w:marLeft w:val="0"/>
          <w:marRight w:val="0"/>
          <w:marTop w:val="0"/>
          <w:marBottom w:val="0"/>
          <w:divBdr>
            <w:top w:val="none" w:sz="0" w:space="0" w:color="auto"/>
            <w:left w:val="none" w:sz="0" w:space="0" w:color="auto"/>
            <w:bottom w:val="none" w:sz="0" w:space="0" w:color="auto"/>
            <w:right w:val="none" w:sz="0" w:space="0" w:color="auto"/>
          </w:divBdr>
        </w:div>
        <w:div w:id="51347368">
          <w:marLeft w:val="0"/>
          <w:marRight w:val="0"/>
          <w:marTop w:val="0"/>
          <w:marBottom w:val="0"/>
          <w:divBdr>
            <w:top w:val="none" w:sz="0" w:space="0" w:color="auto"/>
            <w:left w:val="none" w:sz="0" w:space="0" w:color="auto"/>
            <w:bottom w:val="none" w:sz="0" w:space="0" w:color="auto"/>
            <w:right w:val="none" w:sz="0" w:space="0" w:color="auto"/>
          </w:divBdr>
        </w:div>
        <w:div w:id="109127592">
          <w:marLeft w:val="0"/>
          <w:marRight w:val="0"/>
          <w:marTop w:val="0"/>
          <w:marBottom w:val="0"/>
          <w:divBdr>
            <w:top w:val="none" w:sz="0" w:space="0" w:color="auto"/>
            <w:left w:val="none" w:sz="0" w:space="0" w:color="auto"/>
            <w:bottom w:val="none" w:sz="0" w:space="0" w:color="auto"/>
            <w:right w:val="none" w:sz="0" w:space="0" w:color="auto"/>
          </w:divBdr>
        </w:div>
        <w:div w:id="125853979">
          <w:marLeft w:val="0"/>
          <w:marRight w:val="0"/>
          <w:marTop w:val="0"/>
          <w:marBottom w:val="0"/>
          <w:divBdr>
            <w:top w:val="none" w:sz="0" w:space="0" w:color="auto"/>
            <w:left w:val="none" w:sz="0" w:space="0" w:color="auto"/>
            <w:bottom w:val="none" w:sz="0" w:space="0" w:color="auto"/>
            <w:right w:val="none" w:sz="0" w:space="0" w:color="auto"/>
          </w:divBdr>
        </w:div>
        <w:div w:id="127358443">
          <w:marLeft w:val="0"/>
          <w:marRight w:val="0"/>
          <w:marTop w:val="0"/>
          <w:marBottom w:val="0"/>
          <w:divBdr>
            <w:top w:val="none" w:sz="0" w:space="0" w:color="auto"/>
            <w:left w:val="none" w:sz="0" w:space="0" w:color="auto"/>
            <w:bottom w:val="none" w:sz="0" w:space="0" w:color="auto"/>
            <w:right w:val="none" w:sz="0" w:space="0" w:color="auto"/>
          </w:divBdr>
        </w:div>
        <w:div w:id="133766667">
          <w:marLeft w:val="0"/>
          <w:marRight w:val="0"/>
          <w:marTop w:val="0"/>
          <w:marBottom w:val="0"/>
          <w:divBdr>
            <w:top w:val="none" w:sz="0" w:space="0" w:color="auto"/>
            <w:left w:val="none" w:sz="0" w:space="0" w:color="auto"/>
            <w:bottom w:val="none" w:sz="0" w:space="0" w:color="auto"/>
            <w:right w:val="none" w:sz="0" w:space="0" w:color="auto"/>
          </w:divBdr>
        </w:div>
        <w:div w:id="135805971">
          <w:marLeft w:val="0"/>
          <w:marRight w:val="0"/>
          <w:marTop w:val="0"/>
          <w:marBottom w:val="0"/>
          <w:divBdr>
            <w:top w:val="none" w:sz="0" w:space="0" w:color="auto"/>
            <w:left w:val="none" w:sz="0" w:space="0" w:color="auto"/>
            <w:bottom w:val="none" w:sz="0" w:space="0" w:color="auto"/>
            <w:right w:val="none" w:sz="0" w:space="0" w:color="auto"/>
          </w:divBdr>
        </w:div>
        <w:div w:id="189148063">
          <w:marLeft w:val="0"/>
          <w:marRight w:val="0"/>
          <w:marTop w:val="0"/>
          <w:marBottom w:val="0"/>
          <w:divBdr>
            <w:top w:val="none" w:sz="0" w:space="0" w:color="auto"/>
            <w:left w:val="none" w:sz="0" w:space="0" w:color="auto"/>
            <w:bottom w:val="none" w:sz="0" w:space="0" w:color="auto"/>
            <w:right w:val="none" w:sz="0" w:space="0" w:color="auto"/>
          </w:divBdr>
        </w:div>
        <w:div w:id="219220434">
          <w:marLeft w:val="0"/>
          <w:marRight w:val="0"/>
          <w:marTop w:val="0"/>
          <w:marBottom w:val="0"/>
          <w:divBdr>
            <w:top w:val="none" w:sz="0" w:space="0" w:color="auto"/>
            <w:left w:val="none" w:sz="0" w:space="0" w:color="auto"/>
            <w:bottom w:val="none" w:sz="0" w:space="0" w:color="auto"/>
            <w:right w:val="none" w:sz="0" w:space="0" w:color="auto"/>
          </w:divBdr>
        </w:div>
        <w:div w:id="283924824">
          <w:marLeft w:val="0"/>
          <w:marRight w:val="0"/>
          <w:marTop w:val="0"/>
          <w:marBottom w:val="0"/>
          <w:divBdr>
            <w:top w:val="none" w:sz="0" w:space="0" w:color="auto"/>
            <w:left w:val="none" w:sz="0" w:space="0" w:color="auto"/>
            <w:bottom w:val="none" w:sz="0" w:space="0" w:color="auto"/>
            <w:right w:val="none" w:sz="0" w:space="0" w:color="auto"/>
          </w:divBdr>
        </w:div>
        <w:div w:id="325213223">
          <w:marLeft w:val="0"/>
          <w:marRight w:val="0"/>
          <w:marTop w:val="0"/>
          <w:marBottom w:val="0"/>
          <w:divBdr>
            <w:top w:val="none" w:sz="0" w:space="0" w:color="auto"/>
            <w:left w:val="none" w:sz="0" w:space="0" w:color="auto"/>
            <w:bottom w:val="none" w:sz="0" w:space="0" w:color="auto"/>
            <w:right w:val="none" w:sz="0" w:space="0" w:color="auto"/>
          </w:divBdr>
        </w:div>
        <w:div w:id="365257164">
          <w:marLeft w:val="0"/>
          <w:marRight w:val="0"/>
          <w:marTop w:val="0"/>
          <w:marBottom w:val="0"/>
          <w:divBdr>
            <w:top w:val="none" w:sz="0" w:space="0" w:color="auto"/>
            <w:left w:val="none" w:sz="0" w:space="0" w:color="auto"/>
            <w:bottom w:val="none" w:sz="0" w:space="0" w:color="auto"/>
            <w:right w:val="none" w:sz="0" w:space="0" w:color="auto"/>
          </w:divBdr>
        </w:div>
        <w:div w:id="440341394">
          <w:marLeft w:val="0"/>
          <w:marRight w:val="0"/>
          <w:marTop w:val="0"/>
          <w:marBottom w:val="0"/>
          <w:divBdr>
            <w:top w:val="none" w:sz="0" w:space="0" w:color="auto"/>
            <w:left w:val="none" w:sz="0" w:space="0" w:color="auto"/>
            <w:bottom w:val="none" w:sz="0" w:space="0" w:color="auto"/>
            <w:right w:val="none" w:sz="0" w:space="0" w:color="auto"/>
          </w:divBdr>
        </w:div>
        <w:div w:id="513542726">
          <w:marLeft w:val="0"/>
          <w:marRight w:val="0"/>
          <w:marTop w:val="0"/>
          <w:marBottom w:val="0"/>
          <w:divBdr>
            <w:top w:val="none" w:sz="0" w:space="0" w:color="auto"/>
            <w:left w:val="none" w:sz="0" w:space="0" w:color="auto"/>
            <w:bottom w:val="none" w:sz="0" w:space="0" w:color="auto"/>
            <w:right w:val="none" w:sz="0" w:space="0" w:color="auto"/>
          </w:divBdr>
        </w:div>
        <w:div w:id="598952530">
          <w:marLeft w:val="0"/>
          <w:marRight w:val="0"/>
          <w:marTop w:val="0"/>
          <w:marBottom w:val="0"/>
          <w:divBdr>
            <w:top w:val="none" w:sz="0" w:space="0" w:color="auto"/>
            <w:left w:val="none" w:sz="0" w:space="0" w:color="auto"/>
            <w:bottom w:val="none" w:sz="0" w:space="0" w:color="auto"/>
            <w:right w:val="none" w:sz="0" w:space="0" w:color="auto"/>
          </w:divBdr>
        </w:div>
        <w:div w:id="618269447">
          <w:marLeft w:val="0"/>
          <w:marRight w:val="0"/>
          <w:marTop w:val="0"/>
          <w:marBottom w:val="0"/>
          <w:divBdr>
            <w:top w:val="none" w:sz="0" w:space="0" w:color="auto"/>
            <w:left w:val="none" w:sz="0" w:space="0" w:color="auto"/>
            <w:bottom w:val="none" w:sz="0" w:space="0" w:color="auto"/>
            <w:right w:val="none" w:sz="0" w:space="0" w:color="auto"/>
          </w:divBdr>
        </w:div>
        <w:div w:id="675350994">
          <w:marLeft w:val="0"/>
          <w:marRight w:val="0"/>
          <w:marTop w:val="0"/>
          <w:marBottom w:val="0"/>
          <w:divBdr>
            <w:top w:val="none" w:sz="0" w:space="0" w:color="auto"/>
            <w:left w:val="none" w:sz="0" w:space="0" w:color="auto"/>
            <w:bottom w:val="none" w:sz="0" w:space="0" w:color="auto"/>
            <w:right w:val="none" w:sz="0" w:space="0" w:color="auto"/>
          </w:divBdr>
        </w:div>
        <w:div w:id="817961172">
          <w:marLeft w:val="0"/>
          <w:marRight w:val="0"/>
          <w:marTop w:val="0"/>
          <w:marBottom w:val="0"/>
          <w:divBdr>
            <w:top w:val="none" w:sz="0" w:space="0" w:color="auto"/>
            <w:left w:val="none" w:sz="0" w:space="0" w:color="auto"/>
            <w:bottom w:val="none" w:sz="0" w:space="0" w:color="auto"/>
            <w:right w:val="none" w:sz="0" w:space="0" w:color="auto"/>
          </w:divBdr>
        </w:div>
        <w:div w:id="821198279">
          <w:marLeft w:val="0"/>
          <w:marRight w:val="0"/>
          <w:marTop w:val="0"/>
          <w:marBottom w:val="0"/>
          <w:divBdr>
            <w:top w:val="none" w:sz="0" w:space="0" w:color="auto"/>
            <w:left w:val="none" w:sz="0" w:space="0" w:color="auto"/>
            <w:bottom w:val="none" w:sz="0" w:space="0" w:color="auto"/>
            <w:right w:val="none" w:sz="0" w:space="0" w:color="auto"/>
          </w:divBdr>
        </w:div>
        <w:div w:id="899247145">
          <w:marLeft w:val="0"/>
          <w:marRight w:val="0"/>
          <w:marTop w:val="0"/>
          <w:marBottom w:val="0"/>
          <w:divBdr>
            <w:top w:val="none" w:sz="0" w:space="0" w:color="auto"/>
            <w:left w:val="none" w:sz="0" w:space="0" w:color="auto"/>
            <w:bottom w:val="none" w:sz="0" w:space="0" w:color="auto"/>
            <w:right w:val="none" w:sz="0" w:space="0" w:color="auto"/>
          </w:divBdr>
        </w:div>
        <w:div w:id="1006711328">
          <w:marLeft w:val="0"/>
          <w:marRight w:val="0"/>
          <w:marTop w:val="0"/>
          <w:marBottom w:val="0"/>
          <w:divBdr>
            <w:top w:val="none" w:sz="0" w:space="0" w:color="auto"/>
            <w:left w:val="none" w:sz="0" w:space="0" w:color="auto"/>
            <w:bottom w:val="none" w:sz="0" w:space="0" w:color="auto"/>
            <w:right w:val="none" w:sz="0" w:space="0" w:color="auto"/>
          </w:divBdr>
        </w:div>
        <w:div w:id="1020818208">
          <w:marLeft w:val="0"/>
          <w:marRight w:val="0"/>
          <w:marTop w:val="0"/>
          <w:marBottom w:val="0"/>
          <w:divBdr>
            <w:top w:val="none" w:sz="0" w:space="0" w:color="auto"/>
            <w:left w:val="none" w:sz="0" w:space="0" w:color="auto"/>
            <w:bottom w:val="none" w:sz="0" w:space="0" w:color="auto"/>
            <w:right w:val="none" w:sz="0" w:space="0" w:color="auto"/>
          </w:divBdr>
        </w:div>
        <w:div w:id="1042637377">
          <w:marLeft w:val="0"/>
          <w:marRight w:val="0"/>
          <w:marTop w:val="0"/>
          <w:marBottom w:val="0"/>
          <w:divBdr>
            <w:top w:val="none" w:sz="0" w:space="0" w:color="auto"/>
            <w:left w:val="none" w:sz="0" w:space="0" w:color="auto"/>
            <w:bottom w:val="none" w:sz="0" w:space="0" w:color="auto"/>
            <w:right w:val="none" w:sz="0" w:space="0" w:color="auto"/>
          </w:divBdr>
        </w:div>
        <w:div w:id="1068727531">
          <w:marLeft w:val="0"/>
          <w:marRight w:val="0"/>
          <w:marTop w:val="0"/>
          <w:marBottom w:val="0"/>
          <w:divBdr>
            <w:top w:val="none" w:sz="0" w:space="0" w:color="auto"/>
            <w:left w:val="none" w:sz="0" w:space="0" w:color="auto"/>
            <w:bottom w:val="none" w:sz="0" w:space="0" w:color="auto"/>
            <w:right w:val="none" w:sz="0" w:space="0" w:color="auto"/>
          </w:divBdr>
        </w:div>
        <w:div w:id="1168012673">
          <w:marLeft w:val="0"/>
          <w:marRight w:val="0"/>
          <w:marTop w:val="0"/>
          <w:marBottom w:val="0"/>
          <w:divBdr>
            <w:top w:val="none" w:sz="0" w:space="0" w:color="auto"/>
            <w:left w:val="none" w:sz="0" w:space="0" w:color="auto"/>
            <w:bottom w:val="none" w:sz="0" w:space="0" w:color="auto"/>
            <w:right w:val="none" w:sz="0" w:space="0" w:color="auto"/>
          </w:divBdr>
        </w:div>
        <w:div w:id="1173640287">
          <w:marLeft w:val="0"/>
          <w:marRight w:val="0"/>
          <w:marTop w:val="0"/>
          <w:marBottom w:val="0"/>
          <w:divBdr>
            <w:top w:val="none" w:sz="0" w:space="0" w:color="auto"/>
            <w:left w:val="none" w:sz="0" w:space="0" w:color="auto"/>
            <w:bottom w:val="none" w:sz="0" w:space="0" w:color="auto"/>
            <w:right w:val="none" w:sz="0" w:space="0" w:color="auto"/>
          </w:divBdr>
        </w:div>
        <w:div w:id="1186746434">
          <w:marLeft w:val="0"/>
          <w:marRight w:val="0"/>
          <w:marTop w:val="0"/>
          <w:marBottom w:val="0"/>
          <w:divBdr>
            <w:top w:val="none" w:sz="0" w:space="0" w:color="auto"/>
            <w:left w:val="none" w:sz="0" w:space="0" w:color="auto"/>
            <w:bottom w:val="none" w:sz="0" w:space="0" w:color="auto"/>
            <w:right w:val="none" w:sz="0" w:space="0" w:color="auto"/>
          </w:divBdr>
        </w:div>
        <w:div w:id="1187643968">
          <w:marLeft w:val="0"/>
          <w:marRight w:val="0"/>
          <w:marTop w:val="0"/>
          <w:marBottom w:val="0"/>
          <w:divBdr>
            <w:top w:val="none" w:sz="0" w:space="0" w:color="auto"/>
            <w:left w:val="none" w:sz="0" w:space="0" w:color="auto"/>
            <w:bottom w:val="none" w:sz="0" w:space="0" w:color="auto"/>
            <w:right w:val="none" w:sz="0" w:space="0" w:color="auto"/>
          </w:divBdr>
        </w:div>
        <w:div w:id="1264190390">
          <w:marLeft w:val="0"/>
          <w:marRight w:val="0"/>
          <w:marTop w:val="0"/>
          <w:marBottom w:val="0"/>
          <w:divBdr>
            <w:top w:val="none" w:sz="0" w:space="0" w:color="auto"/>
            <w:left w:val="none" w:sz="0" w:space="0" w:color="auto"/>
            <w:bottom w:val="none" w:sz="0" w:space="0" w:color="auto"/>
            <w:right w:val="none" w:sz="0" w:space="0" w:color="auto"/>
          </w:divBdr>
        </w:div>
        <w:div w:id="1299723323">
          <w:marLeft w:val="0"/>
          <w:marRight w:val="0"/>
          <w:marTop w:val="0"/>
          <w:marBottom w:val="0"/>
          <w:divBdr>
            <w:top w:val="none" w:sz="0" w:space="0" w:color="auto"/>
            <w:left w:val="none" w:sz="0" w:space="0" w:color="auto"/>
            <w:bottom w:val="none" w:sz="0" w:space="0" w:color="auto"/>
            <w:right w:val="none" w:sz="0" w:space="0" w:color="auto"/>
          </w:divBdr>
        </w:div>
        <w:div w:id="1314749918">
          <w:marLeft w:val="0"/>
          <w:marRight w:val="0"/>
          <w:marTop w:val="0"/>
          <w:marBottom w:val="0"/>
          <w:divBdr>
            <w:top w:val="none" w:sz="0" w:space="0" w:color="auto"/>
            <w:left w:val="none" w:sz="0" w:space="0" w:color="auto"/>
            <w:bottom w:val="none" w:sz="0" w:space="0" w:color="auto"/>
            <w:right w:val="none" w:sz="0" w:space="0" w:color="auto"/>
          </w:divBdr>
        </w:div>
        <w:div w:id="1359118132">
          <w:marLeft w:val="0"/>
          <w:marRight w:val="0"/>
          <w:marTop w:val="0"/>
          <w:marBottom w:val="0"/>
          <w:divBdr>
            <w:top w:val="none" w:sz="0" w:space="0" w:color="auto"/>
            <w:left w:val="none" w:sz="0" w:space="0" w:color="auto"/>
            <w:bottom w:val="none" w:sz="0" w:space="0" w:color="auto"/>
            <w:right w:val="none" w:sz="0" w:space="0" w:color="auto"/>
          </w:divBdr>
        </w:div>
        <w:div w:id="1430347606">
          <w:marLeft w:val="0"/>
          <w:marRight w:val="0"/>
          <w:marTop w:val="0"/>
          <w:marBottom w:val="0"/>
          <w:divBdr>
            <w:top w:val="none" w:sz="0" w:space="0" w:color="auto"/>
            <w:left w:val="none" w:sz="0" w:space="0" w:color="auto"/>
            <w:bottom w:val="none" w:sz="0" w:space="0" w:color="auto"/>
            <w:right w:val="none" w:sz="0" w:space="0" w:color="auto"/>
          </w:divBdr>
        </w:div>
        <w:div w:id="1459102933">
          <w:marLeft w:val="0"/>
          <w:marRight w:val="0"/>
          <w:marTop w:val="0"/>
          <w:marBottom w:val="0"/>
          <w:divBdr>
            <w:top w:val="none" w:sz="0" w:space="0" w:color="auto"/>
            <w:left w:val="none" w:sz="0" w:space="0" w:color="auto"/>
            <w:bottom w:val="none" w:sz="0" w:space="0" w:color="auto"/>
            <w:right w:val="none" w:sz="0" w:space="0" w:color="auto"/>
          </w:divBdr>
        </w:div>
        <w:div w:id="1462966543">
          <w:marLeft w:val="0"/>
          <w:marRight w:val="0"/>
          <w:marTop w:val="0"/>
          <w:marBottom w:val="0"/>
          <w:divBdr>
            <w:top w:val="none" w:sz="0" w:space="0" w:color="auto"/>
            <w:left w:val="none" w:sz="0" w:space="0" w:color="auto"/>
            <w:bottom w:val="none" w:sz="0" w:space="0" w:color="auto"/>
            <w:right w:val="none" w:sz="0" w:space="0" w:color="auto"/>
          </w:divBdr>
        </w:div>
        <w:div w:id="1469397807">
          <w:marLeft w:val="0"/>
          <w:marRight w:val="0"/>
          <w:marTop w:val="0"/>
          <w:marBottom w:val="0"/>
          <w:divBdr>
            <w:top w:val="none" w:sz="0" w:space="0" w:color="auto"/>
            <w:left w:val="none" w:sz="0" w:space="0" w:color="auto"/>
            <w:bottom w:val="none" w:sz="0" w:space="0" w:color="auto"/>
            <w:right w:val="none" w:sz="0" w:space="0" w:color="auto"/>
          </w:divBdr>
        </w:div>
        <w:div w:id="1514566346">
          <w:marLeft w:val="0"/>
          <w:marRight w:val="0"/>
          <w:marTop w:val="0"/>
          <w:marBottom w:val="0"/>
          <w:divBdr>
            <w:top w:val="none" w:sz="0" w:space="0" w:color="auto"/>
            <w:left w:val="none" w:sz="0" w:space="0" w:color="auto"/>
            <w:bottom w:val="none" w:sz="0" w:space="0" w:color="auto"/>
            <w:right w:val="none" w:sz="0" w:space="0" w:color="auto"/>
          </w:divBdr>
        </w:div>
        <w:div w:id="1553927265">
          <w:marLeft w:val="0"/>
          <w:marRight w:val="0"/>
          <w:marTop w:val="0"/>
          <w:marBottom w:val="0"/>
          <w:divBdr>
            <w:top w:val="none" w:sz="0" w:space="0" w:color="auto"/>
            <w:left w:val="none" w:sz="0" w:space="0" w:color="auto"/>
            <w:bottom w:val="none" w:sz="0" w:space="0" w:color="auto"/>
            <w:right w:val="none" w:sz="0" w:space="0" w:color="auto"/>
          </w:divBdr>
        </w:div>
        <w:div w:id="1592471064">
          <w:marLeft w:val="0"/>
          <w:marRight w:val="0"/>
          <w:marTop w:val="0"/>
          <w:marBottom w:val="0"/>
          <w:divBdr>
            <w:top w:val="none" w:sz="0" w:space="0" w:color="auto"/>
            <w:left w:val="none" w:sz="0" w:space="0" w:color="auto"/>
            <w:bottom w:val="none" w:sz="0" w:space="0" w:color="auto"/>
            <w:right w:val="none" w:sz="0" w:space="0" w:color="auto"/>
          </w:divBdr>
        </w:div>
        <w:div w:id="1596011853">
          <w:marLeft w:val="0"/>
          <w:marRight w:val="0"/>
          <w:marTop w:val="0"/>
          <w:marBottom w:val="0"/>
          <w:divBdr>
            <w:top w:val="none" w:sz="0" w:space="0" w:color="auto"/>
            <w:left w:val="none" w:sz="0" w:space="0" w:color="auto"/>
            <w:bottom w:val="none" w:sz="0" w:space="0" w:color="auto"/>
            <w:right w:val="none" w:sz="0" w:space="0" w:color="auto"/>
          </w:divBdr>
        </w:div>
        <w:div w:id="1622223713">
          <w:marLeft w:val="0"/>
          <w:marRight w:val="0"/>
          <w:marTop w:val="0"/>
          <w:marBottom w:val="0"/>
          <w:divBdr>
            <w:top w:val="none" w:sz="0" w:space="0" w:color="auto"/>
            <w:left w:val="none" w:sz="0" w:space="0" w:color="auto"/>
            <w:bottom w:val="none" w:sz="0" w:space="0" w:color="auto"/>
            <w:right w:val="none" w:sz="0" w:space="0" w:color="auto"/>
          </w:divBdr>
        </w:div>
        <w:div w:id="1635483187">
          <w:marLeft w:val="0"/>
          <w:marRight w:val="0"/>
          <w:marTop w:val="0"/>
          <w:marBottom w:val="0"/>
          <w:divBdr>
            <w:top w:val="none" w:sz="0" w:space="0" w:color="auto"/>
            <w:left w:val="none" w:sz="0" w:space="0" w:color="auto"/>
            <w:bottom w:val="none" w:sz="0" w:space="0" w:color="auto"/>
            <w:right w:val="none" w:sz="0" w:space="0" w:color="auto"/>
          </w:divBdr>
        </w:div>
        <w:div w:id="1644891101">
          <w:marLeft w:val="0"/>
          <w:marRight w:val="0"/>
          <w:marTop w:val="0"/>
          <w:marBottom w:val="0"/>
          <w:divBdr>
            <w:top w:val="none" w:sz="0" w:space="0" w:color="auto"/>
            <w:left w:val="none" w:sz="0" w:space="0" w:color="auto"/>
            <w:bottom w:val="none" w:sz="0" w:space="0" w:color="auto"/>
            <w:right w:val="none" w:sz="0" w:space="0" w:color="auto"/>
          </w:divBdr>
        </w:div>
        <w:div w:id="1718243305">
          <w:marLeft w:val="0"/>
          <w:marRight w:val="0"/>
          <w:marTop w:val="0"/>
          <w:marBottom w:val="0"/>
          <w:divBdr>
            <w:top w:val="none" w:sz="0" w:space="0" w:color="auto"/>
            <w:left w:val="none" w:sz="0" w:space="0" w:color="auto"/>
            <w:bottom w:val="none" w:sz="0" w:space="0" w:color="auto"/>
            <w:right w:val="none" w:sz="0" w:space="0" w:color="auto"/>
          </w:divBdr>
        </w:div>
        <w:div w:id="1745685603">
          <w:marLeft w:val="0"/>
          <w:marRight w:val="0"/>
          <w:marTop w:val="0"/>
          <w:marBottom w:val="0"/>
          <w:divBdr>
            <w:top w:val="none" w:sz="0" w:space="0" w:color="auto"/>
            <w:left w:val="none" w:sz="0" w:space="0" w:color="auto"/>
            <w:bottom w:val="none" w:sz="0" w:space="0" w:color="auto"/>
            <w:right w:val="none" w:sz="0" w:space="0" w:color="auto"/>
          </w:divBdr>
        </w:div>
        <w:div w:id="1767538383">
          <w:marLeft w:val="0"/>
          <w:marRight w:val="0"/>
          <w:marTop w:val="0"/>
          <w:marBottom w:val="0"/>
          <w:divBdr>
            <w:top w:val="none" w:sz="0" w:space="0" w:color="auto"/>
            <w:left w:val="none" w:sz="0" w:space="0" w:color="auto"/>
            <w:bottom w:val="none" w:sz="0" w:space="0" w:color="auto"/>
            <w:right w:val="none" w:sz="0" w:space="0" w:color="auto"/>
          </w:divBdr>
        </w:div>
        <w:div w:id="1769695409">
          <w:marLeft w:val="0"/>
          <w:marRight w:val="0"/>
          <w:marTop w:val="0"/>
          <w:marBottom w:val="0"/>
          <w:divBdr>
            <w:top w:val="none" w:sz="0" w:space="0" w:color="auto"/>
            <w:left w:val="none" w:sz="0" w:space="0" w:color="auto"/>
            <w:bottom w:val="none" w:sz="0" w:space="0" w:color="auto"/>
            <w:right w:val="none" w:sz="0" w:space="0" w:color="auto"/>
          </w:divBdr>
        </w:div>
        <w:div w:id="1853639785">
          <w:marLeft w:val="0"/>
          <w:marRight w:val="0"/>
          <w:marTop w:val="0"/>
          <w:marBottom w:val="0"/>
          <w:divBdr>
            <w:top w:val="none" w:sz="0" w:space="0" w:color="auto"/>
            <w:left w:val="none" w:sz="0" w:space="0" w:color="auto"/>
            <w:bottom w:val="none" w:sz="0" w:space="0" w:color="auto"/>
            <w:right w:val="none" w:sz="0" w:space="0" w:color="auto"/>
          </w:divBdr>
        </w:div>
        <w:div w:id="1854487728">
          <w:marLeft w:val="0"/>
          <w:marRight w:val="0"/>
          <w:marTop w:val="0"/>
          <w:marBottom w:val="0"/>
          <w:divBdr>
            <w:top w:val="none" w:sz="0" w:space="0" w:color="auto"/>
            <w:left w:val="none" w:sz="0" w:space="0" w:color="auto"/>
            <w:bottom w:val="none" w:sz="0" w:space="0" w:color="auto"/>
            <w:right w:val="none" w:sz="0" w:space="0" w:color="auto"/>
          </w:divBdr>
        </w:div>
        <w:div w:id="1893150748">
          <w:marLeft w:val="0"/>
          <w:marRight w:val="0"/>
          <w:marTop w:val="0"/>
          <w:marBottom w:val="0"/>
          <w:divBdr>
            <w:top w:val="none" w:sz="0" w:space="0" w:color="auto"/>
            <w:left w:val="none" w:sz="0" w:space="0" w:color="auto"/>
            <w:bottom w:val="none" w:sz="0" w:space="0" w:color="auto"/>
            <w:right w:val="none" w:sz="0" w:space="0" w:color="auto"/>
          </w:divBdr>
        </w:div>
        <w:div w:id="1905944336">
          <w:marLeft w:val="0"/>
          <w:marRight w:val="0"/>
          <w:marTop w:val="0"/>
          <w:marBottom w:val="0"/>
          <w:divBdr>
            <w:top w:val="none" w:sz="0" w:space="0" w:color="auto"/>
            <w:left w:val="none" w:sz="0" w:space="0" w:color="auto"/>
            <w:bottom w:val="none" w:sz="0" w:space="0" w:color="auto"/>
            <w:right w:val="none" w:sz="0" w:space="0" w:color="auto"/>
          </w:divBdr>
        </w:div>
        <w:div w:id="2039698059">
          <w:marLeft w:val="0"/>
          <w:marRight w:val="0"/>
          <w:marTop w:val="0"/>
          <w:marBottom w:val="0"/>
          <w:divBdr>
            <w:top w:val="none" w:sz="0" w:space="0" w:color="auto"/>
            <w:left w:val="none" w:sz="0" w:space="0" w:color="auto"/>
            <w:bottom w:val="none" w:sz="0" w:space="0" w:color="auto"/>
            <w:right w:val="none" w:sz="0" w:space="0" w:color="auto"/>
          </w:divBdr>
        </w:div>
        <w:div w:id="2055032348">
          <w:marLeft w:val="0"/>
          <w:marRight w:val="0"/>
          <w:marTop w:val="0"/>
          <w:marBottom w:val="0"/>
          <w:divBdr>
            <w:top w:val="none" w:sz="0" w:space="0" w:color="auto"/>
            <w:left w:val="none" w:sz="0" w:space="0" w:color="auto"/>
            <w:bottom w:val="none" w:sz="0" w:space="0" w:color="auto"/>
            <w:right w:val="none" w:sz="0" w:space="0" w:color="auto"/>
          </w:divBdr>
        </w:div>
        <w:div w:id="2146316454">
          <w:marLeft w:val="0"/>
          <w:marRight w:val="0"/>
          <w:marTop w:val="0"/>
          <w:marBottom w:val="0"/>
          <w:divBdr>
            <w:top w:val="none" w:sz="0" w:space="0" w:color="auto"/>
            <w:left w:val="none" w:sz="0" w:space="0" w:color="auto"/>
            <w:bottom w:val="none" w:sz="0" w:space="0" w:color="auto"/>
            <w:right w:val="none" w:sz="0" w:space="0" w:color="auto"/>
          </w:divBdr>
        </w:div>
      </w:divsChild>
    </w:div>
    <w:div w:id="305938462">
      <w:bodyDiv w:val="1"/>
      <w:marLeft w:val="0"/>
      <w:marRight w:val="0"/>
      <w:marTop w:val="0"/>
      <w:marBottom w:val="0"/>
      <w:divBdr>
        <w:top w:val="none" w:sz="0" w:space="0" w:color="auto"/>
        <w:left w:val="none" w:sz="0" w:space="0" w:color="auto"/>
        <w:bottom w:val="none" w:sz="0" w:space="0" w:color="auto"/>
        <w:right w:val="none" w:sz="0" w:space="0" w:color="auto"/>
      </w:divBdr>
      <w:divsChild>
        <w:div w:id="73092317">
          <w:marLeft w:val="0"/>
          <w:marRight w:val="0"/>
          <w:marTop w:val="0"/>
          <w:marBottom w:val="0"/>
          <w:divBdr>
            <w:top w:val="none" w:sz="0" w:space="0" w:color="auto"/>
            <w:left w:val="none" w:sz="0" w:space="0" w:color="auto"/>
            <w:bottom w:val="none" w:sz="0" w:space="0" w:color="auto"/>
            <w:right w:val="none" w:sz="0" w:space="0" w:color="auto"/>
          </w:divBdr>
        </w:div>
        <w:div w:id="837117079">
          <w:marLeft w:val="0"/>
          <w:marRight w:val="0"/>
          <w:marTop w:val="0"/>
          <w:marBottom w:val="0"/>
          <w:divBdr>
            <w:top w:val="none" w:sz="0" w:space="0" w:color="auto"/>
            <w:left w:val="none" w:sz="0" w:space="0" w:color="auto"/>
            <w:bottom w:val="none" w:sz="0" w:space="0" w:color="auto"/>
            <w:right w:val="none" w:sz="0" w:space="0" w:color="auto"/>
          </w:divBdr>
        </w:div>
        <w:div w:id="1271859320">
          <w:marLeft w:val="0"/>
          <w:marRight w:val="0"/>
          <w:marTop w:val="0"/>
          <w:marBottom w:val="0"/>
          <w:divBdr>
            <w:top w:val="none" w:sz="0" w:space="0" w:color="auto"/>
            <w:left w:val="none" w:sz="0" w:space="0" w:color="auto"/>
            <w:bottom w:val="none" w:sz="0" w:space="0" w:color="auto"/>
            <w:right w:val="none" w:sz="0" w:space="0" w:color="auto"/>
          </w:divBdr>
        </w:div>
        <w:div w:id="2099591627">
          <w:marLeft w:val="0"/>
          <w:marRight w:val="0"/>
          <w:marTop w:val="0"/>
          <w:marBottom w:val="0"/>
          <w:divBdr>
            <w:top w:val="none" w:sz="0" w:space="0" w:color="auto"/>
            <w:left w:val="none" w:sz="0" w:space="0" w:color="auto"/>
            <w:bottom w:val="none" w:sz="0" w:space="0" w:color="auto"/>
            <w:right w:val="none" w:sz="0" w:space="0" w:color="auto"/>
          </w:divBdr>
        </w:div>
      </w:divsChild>
    </w:div>
    <w:div w:id="341787173">
      <w:bodyDiv w:val="1"/>
      <w:marLeft w:val="0"/>
      <w:marRight w:val="0"/>
      <w:marTop w:val="0"/>
      <w:marBottom w:val="0"/>
      <w:divBdr>
        <w:top w:val="none" w:sz="0" w:space="0" w:color="auto"/>
        <w:left w:val="none" w:sz="0" w:space="0" w:color="auto"/>
        <w:bottom w:val="none" w:sz="0" w:space="0" w:color="auto"/>
        <w:right w:val="none" w:sz="0" w:space="0" w:color="auto"/>
      </w:divBdr>
      <w:divsChild>
        <w:div w:id="1165780448">
          <w:marLeft w:val="0"/>
          <w:marRight w:val="0"/>
          <w:marTop w:val="0"/>
          <w:marBottom w:val="0"/>
          <w:divBdr>
            <w:top w:val="none" w:sz="0" w:space="0" w:color="auto"/>
            <w:left w:val="none" w:sz="0" w:space="0" w:color="auto"/>
            <w:bottom w:val="none" w:sz="0" w:space="0" w:color="auto"/>
            <w:right w:val="none" w:sz="0" w:space="0" w:color="auto"/>
          </w:divBdr>
        </w:div>
        <w:div w:id="1870944666">
          <w:marLeft w:val="0"/>
          <w:marRight w:val="0"/>
          <w:marTop w:val="0"/>
          <w:marBottom w:val="0"/>
          <w:divBdr>
            <w:top w:val="none" w:sz="0" w:space="0" w:color="auto"/>
            <w:left w:val="none" w:sz="0" w:space="0" w:color="auto"/>
            <w:bottom w:val="none" w:sz="0" w:space="0" w:color="auto"/>
            <w:right w:val="none" w:sz="0" w:space="0" w:color="auto"/>
          </w:divBdr>
        </w:div>
      </w:divsChild>
    </w:div>
    <w:div w:id="354623864">
      <w:bodyDiv w:val="1"/>
      <w:marLeft w:val="0"/>
      <w:marRight w:val="0"/>
      <w:marTop w:val="0"/>
      <w:marBottom w:val="0"/>
      <w:divBdr>
        <w:top w:val="none" w:sz="0" w:space="0" w:color="auto"/>
        <w:left w:val="none" w:sz="0" w:space="0" w:color="auto"/>
        <w:bottom w:val="none" w:sz="0" w:space="0" w:color="auto"/>
        <w:right w:val="none" w:sz="0" w:space="0" w:color="auto"/>
      </w:divBdr>
      <w:divsChild>
        <w:div w:id="118454008">
          <w:marLeft w:val="0"/>
          <w:marRight w:val="0"/>
          <w:marTop w:val="0"/>
          <w:marBottom w:val="0"/>
          <w:divBdr>
            <w:top w:val="none" w:sz="0" w:space="0" w:color="auto"/>
            <w:left w:val="none" w:sz="0" w:space="0" w:color="auto"/>
            <w:bottom w:val="none" w:sz="0" w:space="0" w:color="auto"/>
            <w:right w:val="none" w:sz="0" w:space="0" w:color="auto"/>
          </w:divBdr>
        </w:div>
        <w:div w:id="123935164">
          <w:marLeft w:val="0"/>
          <w:marRight w:val="0"/>
          <w:marTop w:val="0"/>
          <w:marBottom w:val="0"/>
          <w:divBdr>
            <w:top w:val="none" w:sz="0" w:space="0" w:color="auto"/>
            <w:left w:val="none" w:sz="0" w:space="0" w:color="auto"/>
            <w:bottom w:val="none" w:sz="0" w:space="0" w:color="auto"/>
            <w:right w:val="none" w:sz="0" w:space="0" w:color="auto"/>
          </w:divBdr>
        </w:div>
        <w:div w:id="197008529">
          <w:marLeft w:val="0"/>
          <w:marRight w:val="0"/>
          <w:marTop w:val="0"/>
          <w:marBottom w:val="0"/>
          <w:divBdr>
            <w:top w:val="none" w:sz="0" w:space="0" w:color="auto"/>
            <w:left w:val="none" w:sz="0" w:space="0" w:color="auto"/>
            <w:bottom w:val="none" w:sz="0" w:space="0" w:color="auto"/>
            <w:right w:val="none" w:sz="0" w:space="0" w:color="auto"/>
          </w:divBdr>
        </w:div>
        <w:div w:id="782654046">
          <w:marLeft w:val="0"/>
          <w:marRight w:val="0"/>
          <w:marTop w:val="0"/>
          <w:marBottom w:val="0"/>
          <w:divBdr>
            <w:top w:val="none" w:sz="0" w:space="0" w:color="auto"/>
            <w:left w:val="none" w:sz="0" w:space="0" w:color="auto"/>
            <w:bottom w:val="none" w:sz="0" w:space="0" w:color="auto"/>
            <w:right w:val="none" w:sz="0" w:space="0" w:color="auto"/>
          </w:divBdr>
        </w:div>
        <w:div w:id="1588465204">
          <w:marLeft w:val="0"/>
          <w:marRight w:val="0"/>
          <w:marTop w:val="0"/>
          <w:marBottom w:val="0"/>
          <w:divBdr>
            <w:top w:val="none" w:sz="0" w:space="0" w:color="auto"/>
            <w:left w:val="none" w:sz="0" w:space="0" w:color="auto"/>
            <w:bottom w:val="none" w:sz="0" w:space="0" w:color="auto"/>
            <w:right w:val="none" w:sz="0" w:space="0" w:color="auto"/>
          </w:divBdr>
        </w:div>
        <w:div w:id="1829517807">
          <w:marLeft w:val="0"/>
          <w:marRight w:val="0"/>
          <w:marTop w:val="0"/>
          <w:marBottom w:val="0"/>
          <w:divBdr>
            <w:top w:val="none" w:sz="0" w:space="0" w:color="auto"/>
            <w:left w:val="none" w:sz="0" w:space="0" w:color="auto"/>
            <w:bottom w:val="none" w:sz="0" w:space="0" w:color="auto"/>
            <w:right w:val="none" w:sz="0" w:space="0" w:color="auto"/>
          </w:divBdr>
        </w:div>
        <w:div w:id="1961380342">
          <w:marLeft w:val="0"/>
          <w:marRight w:val="0"/>
          <w:marTop w:val="0"/>
          <w:marBottom w:val="0"/>
          <w:divBdr>
            <w:top w:val="none" w:sz="0" w:space="0" w:color="auto"/>
            <w:left w:val="none" w:sz="0" w:space="0" w:color="auto"/>
            <w:bottom w:val="none" w:sz="0" w:space="0" w:color="auto"/>
            <w:right w:val="none" w:sz="0" w:space="0" w:color="auto"/>
          </w:divBdr>
        </w:div>
        <w:div w:id="2135177120">
          <w:marLeft w:val="0"/>
          <w:marRight w:val="0"/>
          <w:marTop w:val="0"/>
          <w:marBottom w:val="0"/>
          <w:divBdr>
            <w:top w:val="none" w:sz="0" w:space="0" w:color="auto"/>
            <w:left w:val="none" w:sz="0" w:space="0" w:color="auto"/>
            <w:bottom w:val="none" w:sz="0" w:space="0" w:color="auto"/>
            <w:right w:val="none" w:sz="0" w:space="0" w:color="auto"/>
          </w:divBdr>
        </w:div>
      </w:divsChild>
    </w:div>
    <w:div w:id="378240400">
      <w:bodyDiv w:val="1"/>
      <w:marLeft w:val="0"/>
      <w:marRight w:val="0"/>
      <w:marTop w:val="0"/>
      <w:marBottom w:val="0"/>
      <w:divBdr>
        <w:top w:val="none" w:sz="0" w:space="0" w:color="auto"/>
        <w:left w:val="none" w:sz="0" w:space="0" w:color="auto"/>
        <w:bottom w:val="none" w:sz="0" w:space="0" w:color="auto"/>
        <w:right w:val="none" w:sz="0" w:space="0" w:color="auto"/>
      </w:divBdr>
      <w:divsChild>
        <w:div w:id="164324988">
          <w:marLeft w:val="0"/>
          <w:marRight w:val="0"/>
          <w:marTop w:val="0"/>
          <w:marBottom w:val="0"/>
          <w:divBdr>
            <w:top w:val="none" w:sz="0" w:space="0" w:color="auto"/>
            <w:left w:val="none" w:sz="0" w:space="0" w:color="auto"/>
            <w:bottom w:val="none" w:sz="0" w:space="0" w:color="auto"/>
            <w:right w:val="none" w:sz="0" w:space="0" w:color="auto"/>
          </w:divBdr>
        </w:div>
        <w:div w:id="179122337">
          <w:marLeft w:val="0"/>
          <w:marRight w:val="0"/>
          <w:marTop w:val="0"/>
          <w:marBottom w:val="0"/>
          <w:divBdr>
            <w:top w:val="none" w:sz="0" w:space="0" w:color="auto"/>
            <w:left w:val="none" w:sz="0" w:space="0" w:color="auto"/>
            <w:bottom w:val="none" w:sz="0" w:space="0" w:color="auto"/>
            <w:right w:val="none" w:sz="0" w:space="0" w:color="auto"/>
          </w:divBdr>
        </w:div>
        <w:div w:id="1140146014">
          <w:marLeft w:val="0"/>
          <w:marRight w:val="0"/>
          <w:marTop w:val="0"/>
          <w:marBottom w:val="0"/>
          <w:divBdr>
            <w:top w:val="none" w:sz="0" w:space="0" w:color="auto"/>
            <w:left w:val="none" w:sz="0" w:space="0" w:color="auto"/>
            <w:bottom w:val="none" w:sz="0" w:space="0" w:color="auto"/>
            <w:right w:val="none" w:sz="0" w:space="0" w:color="auto"/>
          </w:divBdr>
        </w:div>
        <w:div w:id="1217549233">
          <w:marLeft w:val="0"/>
          <w:marRight w:val="0"/>
          <w:marTop w:val="0"/>
          <w:marBottom w:val="0"/>
          <w:divBdr>
            <w:top w:val="none" w:sz="0" w:space="0" w:color="auto"/>
            <w:left w:val="none" w:sz="0" w:space="0" w:color="auto"/>
            <w:bottom w:val="none" w:sz="0" w:space="0" w:color="auto"/>
            <w:right w:val="none" w:sz="0" w:space="0" w:color="auto"/>
          </w:divBdr>
        </w:div>
        <w:div w:id="1322849194">
          <w:marLeft w:val="0"/>
          <w:marRight w:val="0"/>
          <w:marTop w:val="0"/>
          <w:marBottom w:val="0"/>
          <w:divBdr>
            <w:top w:val="none" w:sz="0" w:space="0" w:color="auto"/>
            <w:left w:val="none" w:sz="0" w:space="0" w:color="auto"/>
            <w:bottom w:val="none" w:sz="0" w:space="0" w:color="auto"/>
            <w:right w:val="none" w:sz="0" w:space="0" w:color="auto"/>
          </w:divBdr>
        </w:div>
        <w:div w:id="1420635236">
          <w:marLeft w:val="0"/>
          <w:marRight w:val="0"/>
          <w:marTop w:val="0"/>
          <w:marBottom w:val="0"/>
          <w:divBdr>
            <w:top w:val="none" w:sz="0" w:space="0" w:color="auto"/>
            <w:left w:val="none" w:sz="0" w:space="0" w:color="auto"/>
            <w:bottom w:val="none" w:sz="0" w:space="0" w:color="auto"/>
            <w:right w:val="none" w:sz="0" w:space="0" w:color="auto"/>
          </w:divBdr>
        </w:div>
        <w:div w:id="2126540396">
          <w:marLeft w:val="0"/>
          <w:marRight w:val="0"/>
          <w:marTop w:val="0"/>
          <w:marBottom w:val="0"/>
          <w:divBdr>
            <w:top w:val="none" w:sz="0" w:space="0" w:color="auto"/>
            <w:left w:val="none" w:sz="0" w:space="0" w:color="auto"/>
            <w:bottom w:val="none" w:sz="0" w:space="0" w:color="auto"/>
            <w:right w:val="none" w:sz="0" w:space="0" w:color="auto"/>
          </w:divBdr>
        </w:div>
      </w:divsChild>
    </w:div>
    <w:div w:id="391125937">
      <w:bodyDiv w:val="1"/>
      <w:marLeft w:val="0"/>
      <w:marRight w:val="0"/>
      <w:marTop w:val="0"/>
      <w:marBottom w:val="0"/>
      <w:divBdr>
        <w:top w:val="none" w:sz="0" w:space="0" w:color="auto"/>
        <w:left w:val="none" w:sz="0" w:space="0" w:color="auto"/>
        <w:bottom w:val="none" w:sz="0" w:space="0" w:color="auto"/>
        <w:right w:val="none" w:sz="0" w:space="0" w:color="auto"/>
      </w:divBdr>
      <w:divsChild>
        <w:div w:id="418257571">
          <w:marLeft w:val="0"/>
          <w:marRight w:val="0"/>
          <w:marTop w:val="0"/>
          <w:marBottom w:val="0"/>
          <w:divBdr>
            <w:top w:val="none" w:sz="0" w:space="0" w:color="auto"/>
            <w:left w:val="none" w:sz="0" w:space="0" w:color="auto"/>
            <w:bottom w:val="none" w:sz="0" w:space="0" w:color="auto"/>
            <w:right w:val="none" w:sz="0" w:space="0" w:color="auto"/>
          </w:divBdr>
        </w:div>
        <w:div w:id="506483987">
          <w:marLeft w:val="0"/>
          <w:marRight w:val="0"/>
          <w:marTop w:val="0"/>
          <w:marBottom w:val="0"/>
          <w:divBdr>
            <w:top w:val="none" w:sz="0" w:space="0" w:color="auto"/>
            <w:left w:val="none" w:sz="0" w:space="0" w:color="auto"/>
            <w:bottom w:val="none" w:sz="0" w:space="0" w:color="auto"/>
            <w:right w:val="none" w:sz="0" w:space="0" w:color="auto"/>
          </w:divBdr>
        </w:div>
        <w:div w:id="1656569244">
          <w:marLeft w:val="0"/>
          <w:marRight w:val="0"/>
          <w:marTop w:val="0"/>
          <w:marBottom w:val="0"/>
          <w:divBdr>
            <w:top w:val="none" w:sz="0" w:space="0" w:color="auto"/>
            <w:left w:val="none" w:sz="0" w:space="0" w:color="auto"/>
            <w:bottom w:val="none" w:sz="0" w:space="0" w:color="auto"/>
            <w:right w:val="none" w:sz="0" w:space="0" w:color="auto"/>
          </w:divBdr>
        </w:div>
        <w:div w:id="1708407126">
          <w:marLeft w:val="0"/>
          <w:marRight w:val="0"/>
          <w:marTop w:val="0"/>
          <w:marBottom w:val="0"/>
          <w:divBdr>
            <w:top w:val="none" w:sz="0" w:space="0" w:color="auto"/>
            <w:left w:val="none" w:sz="0" w:space="0" w:color="auto"/>
            <w:bottom w:val="none" w:sz="0" w:space="0" w:color="auto"/>
            <w:right w:val="none" w:sz="0" w:space="0" w:color="auto"/>
          </w:divBdr>
        </w:div>
        <w:div w:id="2056736563">
          <w:marLeft w:val="0"/>
          <w:marRight w:val="0"/>
          <w:marTop w:val="0"/>
          <w:marBottom w:val="0"/>
          <w:divBdr>
            <w:top w:val="none" w:sz="0" w:space="0" w:color="auto"/>
            <w:left w:val="none" w:sz="0" w:space="0" w:color="auto"/>
            <w:bottom w:val="none" w:sz="0" w:space="0" w:color="auto"/>
            <w:right w:val="none" w:sz="0" w:space="0" w:color="auto"/>
          </w:divBdr>
        </w:div>
      </w:divsChild>
    </w:div>
    <w:div w:id="392315313">
      <w:bodyDiv w:val="1"/>
      <w:marLeft w:val="0"/>
      <w:marRight w:val="0"/>
      <w:marTop w:val="0"/>
      <w:marBottom w:val="0"/>
      <w:divBdr>
        <w:top w:val="none" w:sz="0" w:space="0" w:color="auto"/>
        <w:left w:val="none" w:sz="0" w:space="0" w:color="auto"/>
        <w:bottom w:val="none" w:sz="0" w:space="0" w:color="auto"/>
        <w:right w:val="none" w:sz="0" w:space="0" w:color="auto"/>
      </w:divBdr>
    </w:div>
    <w:div w:id="395664950">
      <w:bodyDiv w:val="1"/>
      <w:marLeft w:val="0"/>
      <w:marRight w:val="0"/>
      <w:marTop w:val="0"/>
      <w:marBottom w:val="0"/>
      <w:divBdr>
        <w:top w:val="none" w:sz="0" w:space="0" w:color="auto"/>
        <w:left w:val="none" w:sz="0" w:space="0" w:color="auto"/>
        <w:bottom w:val="none" w:sz="0" w:space="0" w:color="auto"/>
        <w:right w:val="none" w:sz="0" w:space="0" w:color="auto"/>
      </w:divBdr>
      <w:divsChild>
        <w:div w:id="245772636">
          <w:marLeft w:val="0"/>
          <w:marRight w:val="0"/>
          <w:marTop w:val="0"/>
          <w:marBottom w:val="0"/>
          <w:divBdr>
            <w:top w:val="none" w:sz="0" w:space="0" w:color="auto"/>
            <w:left w:val="none" w:sz="0" w:space="0" w:color="auto"/>
            <w:bottom w:val="none" w:sz="0" w:space="0" w:color="auto"/>
            <w:right w:val="none" w:sz="0" w:space="0" w:color="auto"/>
          </w:divBdr>
        </w:div>
        <w:div w:id="281423141">
          <w:marLeft w:val="0"/>
          <w:marRight w:val="0"/>
          <w:marTop w:val="0"/>
          <w:marBottom w:val="0"/>
          <w:divBdr>
            <w:top w:val="none" w:sz="0" w:space="0" w:color="auto"/>
            <w:left w:val="none" w:sz="0" w:space="0" w:color="auto"/>
            <w:bottom w:val="none" w:sz="0" w:space="0" w:color="auto"/>
            <w:right w:val="none" w:sz="0" w:space="0" w:color="auto"/>
          </w:divBdr>
        </w:div>
        <w:div w:id="621232774">
          <w:marLeft w:val="0"/>
          <w:marRight w:val="0"/>
          <w:marTop w:val="0"/>
          <w:marBottom w:val="0"/>
          <w:divBdr>
            <w:top w:val="none" w:sz="0" w:space="0" w:color="auto"/>
            <w:left w:val="none" w:sz="0" w:space="0" w:color="auto"/>
            <w:bottom w:val="none" w:sz="0" w:space="0" w:color="auto"/>
            <w:right w:val="none" w:sz="0" w:space="0" w:color="auto"/>
          </w:divBdr>
        </w:div>
        <w:div w:id="763844141">
          <w:marLeft w:val="0"/>
          <w:marRight w:val="0"/>
          <w:marTop w:val="0"/>
          <w:marBottom w:val="0"/>
          <w:divBdr>
            <w:top w:val="none" w:sz="0" w:space="0" w:color="auto"/>
            <w:left w:val="none" w:sz="0" w:space="0" w:color="auto"/>
            <w:bottom w:val="none" w:sz="0" w:space="0" w:color="auto"/>
            <w:right w:val="none" w:sz="0" w:space="0" w:color="auto"/>
          </w:divBdr>
        </w:div>
        <w:div w:id="852567627">
          <w:marLeft w:val="0"/>
          <w:marRight w:val="0"/>
          <w:marTop w:val="0"/>
          <w:marBottom w:val="0"/>
          <w:divBdr>
            <w:top w:val="none" w:sz="0" w:space="0" w:color="auto"/>
            <w:left w:val="none" w:sz="0" w:space="0" w:color="auto"/>
            <w:bottom w:val="none" w:sz="0" w:space="0" w:color="auto"/>
            <w:right w:val="none" w:sz="0" w:space="0" w:color="auto"/>
          </w:divBdr>
        </w:div>
        <w:div w:id="939798146">
          <w:marLeft w:val="0"/>
          <w:marRight w:val="0"/>
          <w:marTop w:val="0"/>
          <w:marBottom w:val="0"/>
          <w:divBdr>
            <w:top w:val="none" w:sz="0" w:space="0" w:color="auto"/>
            <w:left w:val="none" w:sz="0" w:space="0" w:color="auto"/>
            <w:bottom w:val="none" w:sz="0" w:space="0" w:color="auto"/>
            <w:right w:val="none" w:sz="0" w:space="0" w:color="auto"/>
          </w:divBdr>
        </w:div>
        <w:div w:id="953486439">
          <w:marLeft w:val="0"/>
          <w:marRight w:val="0"/>
          <w:marTop w:val="0"/>
          <w:marBottom w:val="0"/>
          <w:divBdr>
            <w:top w:val="none" w:sz="0" w:space="0" w:color="auto"/>
            <w:left w:val="none" w:sz="0" w:space="0" w:color="auto"/>
            <w:bottom w:val="none" w:sz="0" w:space="0" w:color="auto"/>
            <w:right w:val="none" w:sz="0" w:space="0" w:color="auto"/>
          </w:divBdr>
        </w:div>
        <w:div w:id="1509443495">
          <w:marLeft w:val="0"/>
          <w:marRight w:val="0"/>
          <w:marTop w:val="0"/>
          <w:marBottom w:val="0"/>
          <w:divBdr>
            <w:top w:val="none" w:sz="0" w:space="0" w:color="auto"/>
            <w:left w:val="none" w:sz="0" w:space="0" w:color="auto"/>
            <w:bottom w:val="none" w:sz="0" w:space="0" w:color="auto"/>
            <w:right w:val="none" w:sz="0" w:space="0" w:color="auto"/>
          </w:divBdr>
        </w:div>
        <w:div w:id="1570729115">
          <w:marLeft w:val="0"/>
          <w:marRight w:val="0"/>
          <w:marTop w:val="0"/>
          <w:marBottom w:val="0"/>
          <w:divBdr>
            <w:top w:val="none" w:sz="0" w:space="0" w:color="auto"/>
            <w:left w:val="none" w:sz="0" w:space="0" w:color="auto"/>
            <w:bottom w:val="none" w:sz="0" w:space="0" w:color="auto"/>
            <w:right w:val="none" w:sz="0" w:space="0" w:color="auto"/>
          </w:divBdr>
        </w:div>
        <w:div w:id="1582910879">
          <w:marLeft w:val="0"/>
          <w:marRight w:val="0"/>
          <w:marTop w:val="0"/>
          <w:marBottom w:val="0"/>
          <w:divBdr>
            <w:top w:val="none" w:sz="0" w:space="0" w:color="auto"/>
            <w:left w:val="none" w:sz="0" w:space="0" w:color="auto"/>
            <w:bottom w:val="none" w:sz="0" w:space="0" w:color="auto"/>
            <w:right w:val="none" w:sz="0" w:space="0" w:color="auto"/>
          </w:divBdr>
        </w:div>
        <w:div w:id="1996494634">
          <w:marLeft w:val="0"/>
          <w:marRight w:val="0"/>
          <w:marTop w:val="0"/>
          <w:marBottom w:val="0"/>
          <w:divBdr>
            <w:top w:val="none" w:sz="0" w:space="0" w:color="auto"/>
            <w:left w:val="none" w:sz="0" w:space="0" w:color="auto"/>
            <w:bottom w:val="none" w:sz="0" w:space="0" w:color="auto"/>
            <w:right w:val="none" w:sz="0" w:space="0" w:color="auto"/>
          </w:divBdr>
        </w:div>
        <w:div w:id="2141879362">
          <w:marLeft w:val="0"/>
          <w:marRight w:val="0"/>
          <w:marTop w:val="0"/>
          <w:marBottom w:val="0"/>
          <w:divBdr>
            <w:top w:val="none" w:sz="0" w:space="0" w:color="auto"/>
            <w:left w:val="none" w:sz="0" w:space="0" w:color="auto"/>
            <w:bottom w:val="none" w:sz="0" w:space="0" w:color="auto"/>
            <w:right w:val="none" w:sz="0" w:space="0" w:color="auto"/>
          </w:divBdr>
        </w:div>
      </w:divsChild>
    </w:div>
    <w:div w:id="402720979">
      <w:bodyDiv w:val="1"/>
      <w:marLeft w:val="0"/>
      <w:marRight w:val="0"/>
      <w:marTop w:val="0"/>
      <w:marBottom w:val="0"/>
      <w:divBdr>
        <w:top w:val="none" w:sz="0" w:space="0" w:color="auto"/>
        <w:left w:val="none" w:sz="0" w:space="0" w:color="auto"/>
        <w:bottom w:val="none" w:sz="0" w:space="0" w:color="auto"/>
        <w:right w:val="none" w:sz="0" w:space="0" w:color="auto"/>
      </w:divBdr>
      <w:divsChild>
        <w:div w:id="767123260">
          <w:marLeft w:val="0"/>
          <w:marRight w:val="0"/>
          <w:marTop w:val="0"/>
          <w:marBottom w:val="0"/>
          <w:divBdr>
            <w:top w:val="none" w:sz="0" w:space="0" w:color="auto"/>
            <w:left w:val="none" w:sz="0" w:space="0" w:color="auto"/>
            <w:bottom w:val="none" w:sz="0" w:space="0" w:color="auto"/>
            <w:right w:val="none" w:sz="0" w:space="0" w:color="auto"/>
          </w:divBdr>
        </w:div>
      </w:divsChild>
    </w:div>
    <w:div w:id="422339112">
      <w:bodyDiv w:val="1"/>
      <w:marLeft w:val="0"/>
      <w:marRight w:val="0"/>
      <w:marTop w:val="0"/>
      <w:marBottom w:val="0"/>
      <w:divBdr>
        <w:top w:val="none" w:sz="0" w:space="0" w:color="auto"/>
        <w:left w:val="none" w:sz="0" w:space="0" w:color="auto"/>
        <w:bottom w:val="none" w:sz="0" w:space="0" w:color="auto"/>
        <w:right w:val="none" w:sz="0" w:space="0" w:color="auto"/>
      </w:divBdr>
      <w:divsChild>
        <w:div w:id="2087219572">
          <w:marLeft w:val="0"/>
          <w:marRight w:val="0"/>
          <w:marTop w:val="0"/>
          <w:marBottom w:val="0"/>
          <w:divBdr>
            <w:top w:val="none" w:sz="0" w:space="0" w:color="auto"/>
            <w:left w:val="none" w:sz="0" w:space="0" w:color="auto"/>
            <w:bottom w:val="none" w:sz="0" w:space="0" w:color="auto"/>
            <w:right w:val="none" w:sz="0" w:space="0" w:color="auto"/>
          </w:divBdr>
        </w:div>
      </w:divsChild>
    </w:div>
    <w:div w:id="430706638">
      <w:bodyDiv w:val="1"/>
      <w:marLeft w:val="0"/>
      <w:marRight w:val="0"/>
      <w:marTop w:val="0"/>
      <w:marBottom w:val="0"/>
      <w:divBdr>
        <w:top w:val="none" w:sz="0" w:space="0" w:color="auto"/>
        <w:left w:val="none" w:sz="0" w:space="0" w:color="auto"/>
        <w:bottom w:val="none" w:sz="0" w:space="0" w:color="auto"/>
        <w:right w:val="none" w:sz="0" w:space="0" w:color="auto"/>
      </w:divBdr>
      <w:divsChild>
        <w:div w:id="103815210">
          <w:marLeft w:val="0"/>
          <w:marRight w:val="0"/>
          <w:marTop w:val="0"/>
          <w:marBottom w:val="0"/>
          <w:divBdr>
            <w:top w:val="none" w:sz="0" w:space="0" w:color="auto"/>
            <w:left w:val="none" w:sz="0" w:space="0" w:color="auto"/>
            <w:bottom w:val="none" w:sz="0" w:space="0" w:color="auto"/>
            <w:right w:val="none" w:sz="0" w:space="0" w:color="auto"/>
          </w:divBdr>
        </w:div>
        <w:div w:id="420293362">
          <w:marLeft w:val="0"/>
          <w:marRight w:val="0"/>
          <w:marTop w:val="0"/>
          <w:marBottom w:val="0"/>
          <w:divBdr>
            <w:top w:val="none" w:sz="0" w:space="0" w:color="auto"/>
            <w:left w:val="none" w:sz="0" w:space="0" w:color="auto"/>
            <w:bottom w:val="none" w:sz="0" w:space="0" w:color="auto"/>
            <w:right w:val="none" w:sz="0" w:space="0" w:color="auto"/>
          </w:divBdr>
        </w:div>
      </w:divsChild>
    </w:div>
    <w:div w:id="437414242">
      <w:bodyDiv w:val="1"/>
      <w:marLeft w:val="0"/>
      <w:marRight w:val="0"/>
      <w:marTop w:val="0"/>
      <w:marBottom w:val="0"/>
      <w:divBdr>
        <w:top w:val="none" w:sz="0" w:space="0" w:color="auto"/>
        <w:left w:val="none" w:sz="0" w:space="0" w:color="auto"/>
        <w:bottom w:val="none" w:sz="0" w:space="0" w:color="auto"/>
        <w:right w:val="none" w:sz="0" w:space="0" w:color="auto"/>
      </w:divBdr>
      <w:divsChild>
        <w:div w:id="20518038">
          <w:marLeft w:val="0"/>
          <w:marRight w:val="0"/>
          <w:marTop w:val="0"/>
          <w:marBottom w:val="0"/>
          <w:divBdr>
            <w:top w:val="none" w:sz="0" w:space="0" w:color="auto"/>
            <w:left w:val="none" w:sz="0" w:space="0" w:color="auto"/>
            <w:bottom w:val="none" w:sz="0" w:space="0" w:color="auto"/>
            <w:right w:val="none" w:sz="0" w:space="0" w:color="auto"/>
          </w:divBdr>
        </w:div>
        <w:div w:id="51924498">
          <w:marLeft w:val="0"/>
          <w:marRight w:val="0"/>
          <w:marTop w:val="0"/>
          <w:marBottom w:val="0"/>
          <w:divBdr>
            <w:top w:val="none" w:sz="0" w:space="0" w:color="auto"/>
            <w:left w:val="none" w:sz="0" w:space="0" w:color="auto"/>
            <w:bottom w:val="none" w:sz="0" w:space="0" w:color="auto"/>
            <w:right w:val="none" w:sz="0" w:space="0" w:color="auto"/>
          </w:divBdr>
        </w:div>
        <w:div w:id="190531329">
          <w:marLeft w:val="0"/>
          <w:marRight w:val="0"/>
          <w:marTop w:val="0"/>
          <w:marBottom w:val="0"/>
          <w:divBdr>
            <w:top w:val="none" w:sz="0" w:space="0" w:color="auto"/>
            <w:left w:val="none" w:sz="0" w:space="0" w:color="auto"/>
            <w:bottom w:val="none" w:sz="0" w:space="0" w:color="auto"/>
            <w:right w:val="none" w:sz="0" w:space="0" w:color="auto"/>
          </w:divBdr>
        </w:div>
        <w:div w:id="359824854">
          <w:marLeft w:val="0"/>
          <w:marRight w:val="0"/>
          <w:marTop w:val="0"/>
          <w:marBottom w:val="0"/>
          <w:divBdr>
            <w:top w:val="none" w:sz="0" w:space="0" w:color="auto"/>
            <w:left w:val="none" w:sz="0" w:space="0" w:color="auto"/>
            <w:bottom w:val="none" w:sz="0" w:space="0" w:color="auto"/>
            <w:right w:val="none" w:sz="0" w:space="0" w:color="auto"/>
          </w:divBdr>
        </w:div>
        <w:div w:id="406731567">
          <w:marLeft w:val="0"/>
          <w:marRight w:val="0"/>
          <w:marTop w:val="0"/>
          <w:marBottom w:val="0"/>
          <w:divBdr>
            <w:top w:val="none" w:sz="0" w:space="0" w:color="auto"/>
            <w:left w:val="none" w:sz="0" w:space="0" w:color="auto"/>
            <w:bottom w:val="none" w:sz="0" w:space="0" w:color="auto"/>
            <w:right w:val="none" w:sz="0" w:space="0" w:color="auto"/>
          </w:divBdr>
        </w:div>
        <w:div w:id="567542557">
          <w:marLeft w:val="0"/>
          <w:marRight w:val="0"/>
          <w:marTop w:val="0"/>
          <w:marBottom w:val="0"/>
          <w:divBdr>
            <w:top w:val="none" w:sz="0" w:space="0" w:color="auto"/>
            <w:left w:val="none" w:sz="0" w:space="0" w:color="auto"/>
            <w:bottom w:val="none" w:sz="0" w:space="0" w:color="auto"/>
            <w:right w:val="none" w:sz="0" w:space="0" w:color="auto"/>
          </w:divBdr>
        </w:div>
        <w:div w:id="684282320">
          <w:marLeft w:val="0"/>
          <w:marRight w:val="0"/>
          <w:marTop w:val="0"/>
          <w:marBottom w:val="0"/>
          <w:divBdr>
            <w:top w:val="none" w:sz="0" w:space="0" w:color="auto"/>
            <w:left w:val="none" w:sz="0" w:space="0" w:color="auto"/>
            <w:bottom w:val="none" w:sz="0" w:space="0" w:color="auto"/>
            <w:right w:val="none" w:sz="0" w:space="0" w:color="auto"/>
          </w:divBdr>
        </w:div>
        <w:div w:id="799231804">
          <w:marLeft w:val="0"/>
          <w:marRight w:val="0"/>
          <w:marTop w:val="0"/>
          <w:marBottom w:val="0"/>
          <w:divBdr>
            <w:top w:val="none" w:sz="0" w:space="0" w:color="auto"/>
            <w:left w:val="none" w:sz="0" w:space="0" w:color="auto"/>
            <w:bottom w:val="none" w:sz="0" w:space="0" w:color="auto"/>
            <w:right w:val="none" w:sz="0" w:space="0" w:color="auto"/>
          </w:divBdr>
        </w:div>
        <w:div w:id="1124471170">
          <w:marLeft w:val="0"/>
          <w:marRight w:val="0"/>
          <w:marTop w:val="0"/>
          <w:marBottom w:val="0"/>
          <w:divBdr>
            <w:top w:val="none" w:sz="0" w:space="0" w:color="auto"/>
            <w:left w:val="none" w:sz="0" w:space="0" w:color="auto"/>
            <w:bottom w:val="none" w:sz="0" w:space="0" w:color="auto"/>
            <w:right w:val="none" w:sz="0" w:space="0" w:color="auto"/>
          </w:divBdr>
        </w:div>
        <w:div w:id="1255094585">
          <w:marLeft w:val="0"/>
          <w:marRight w:val="0"/>
          <w:marTop w:val="0"/>
          <w:marBottom w:val="0"/>
          <w:divBdr>
            <w:top w:val="none" w:sz="0" w:space="0" w:color="auto"/>
            <w:left w:val="none" w:sz="0" w:space="0" w:color="auto"/>
            <w:bottom w:val="none" w:sz="0" w:space="0" w:color="auto"/>
            <w:right w:val="none" w:sz="0" w:space="0" w:color="auto"/>
          </w:divBdr>
        </w:div>
        <w:div w:id="1355228373">
          <w:marLeft w:val="0"/>
          <w:marRight w:val="0"/>
          <w:marTop w:val="0"/>
          <w:marBottom w:val="0"/>
          <w:divBdr>
            <w:top w:val="none" w:sz="0" w:space="0" w:color="auto"/>
            <w:left w:val="none" w:sz="0" w:space="0" w:color="auto"/>
            <w:bottom w:val="none" w:sz="0" w:space="0" w:color="auto"/>
            <w:right w:val="none" w:sz="0" w:space="0" w:color="auto"/>
          </w:divBdr>
        </w:div>
        <w:div w:id="1477184662">
          <w:marLeft w:val="0"/>
          <w:marRight w:val="0"/>
          <w:marTop w:val="0"/>
          <w:marBottom w:val="0"/>
          <w:divBdr>
            <w:top w:val="none" w:sz="0" w:space="0" w:color="auto"/>
            <w:left w:val="none" w:sz="0" w:space="0" w:color="auto"/>
            <w:bottom w:val="none" w:sz="0" w:space="0" w:color="auto"/>
            <w:right w:val="none" w:sz="0" w:space="0" w:color="auto"/>
          </w:divBdr>
        </w:div>
        <w:div w:id="1854109010">
          <w:marLeft w:val="0"/>
          <w:marRight w:val="0"/>
          <w:marTop w:val="0"/>
          <w:marBottom w:val="0"/>
          <w:divBdr>
            <w:top w:val="none" w:sz="0" w:space="0" w:color="auto"/>
            <w:left w:val="none" w:sz="0" w:space="0" w:color="auto"/>
            <w:bottom w:val="none" w:sz="0" w:space="0" w:color="auto"/>
            <w:right w:val="none" w:sz="0" w:space="0" w:color="auto"/>
          </w:divBdr>
        </w:div>
        <w:div w:id="1859927155">
          <w:marLeft w:val="0"/>
          <w:marRight w:val="0"/>
          <w:marTop w:val="0"/>
          <w:marBottom w:val="0"/>
          <w:divBdr>
            <w:top w:val="none" w:sz="0" w:space="0" w:color="auto"/>
            <w:left w:val="none" w:sz="0" w:space="0" w:color="auto"/>
            <w:bottom w:val="none" w:sz="0" w:space="0" w:color="auto"/>
            <w:right w:val="none" w:sz="0" w:space="0" w:color="auto"/>
          </w:divBdr>
        </w:div>
      </w:divsChild>
    </w:div>
    <w:div w:id="442893022">
      <w:bodyDiv w:val="1"/>
      <w:marLeft w:val="0"/>
      <w:marRight w:val="0"/>
      <w:marTop w:val="0"/>
      <w:marBottom w:val="0"/>
      <w:divBdr>
        <w:top w:val="none" w:sz="0" w:space="0" w:color="auto"/>
        <w:left w:val="none" w:sz="0" w:space="0" w:color="auto"/>
        <w:bottom w:val="none" w:sz="0" w:space="0" w:color="auto"/>
        <w:right w:val="none" w:sz="0" w:space="0" w:color="auto"/>
      </w:divBdr>
      <w:divsChild>
        <w:div w:id="1115950518">
          <w:marLeft w:val="0"/>
          <w:marRight w:val="0"/>
          <w:marTop w:val="0"/>
          <w:marBottom w:val="0"/>
          <w:divBdr>
            <w:top w:val="none" w:sz="0" w:space="0" w:color="auto"/>
            <w:left w:val="none" w:sz="0" w:space="0" w:color="auto"/>
            <w:bottom w:val="none" w:sz="0" w:space="0" w:color="auto"/>
            <w:right w:val="none" w:sz="0" w:space="0" w:color="auto"/>
          </w:divBdr>
          <w:divsChild>
            <w:div w:id="124397339">
              <w:marLeft w:val="0"/>
              <w:marRight w:val="0"/>
              <w:marTop w:val="0"/>
              <w:marBottom w:val="0"/>
              <w:divBdr>
                <w:top w:val="none" w:sz="0" w:space="0" w:color="auto"/>
                <w:left w:val="none" w:sz="0" w:space="0" w:color="auto"/>
                <w:bottom w:val="none" w:sz="0" w:space="0" w:color="auto"/>
                <w:right w:val="none" w:sz="0" w:space="0" w:color="auto"/>
              </w:divBdr>
              <w:divsChild>
                <w:div w:id="889878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440772">
      <w:bodyDiv w:val="1"/>
      <w:marLeft w:val="0"/>
      <w:marRight w:val="0"/>
      <w:marTop w:val="0"/>
      <w:marBottom w:val="0"/>
      <w:divBdr>
        <w:top w:val="none" w:sz="0" w:space="0" w:color="auto"/>
        <w:left w:val="none" w:sz="0" w:space="0" w:color="auto"/>
        <w:bottom w:val="none" w:sz="0" w:space="0" w:color="auto"/>
        <w:right w:val="none" w:sz="0" w:space="0" w:color="auto"/>
      </w:divBdr>
    </w:div>
    <w:div w:id="458181779">
      <w:bodyDiv w:val="1"/>
      <w:marLeft w:val="0"/>
      <w:marRight w:val="0"/>
      <w:marTop w:val="0"/>
      <w:marBottom w:val="0"/>
      <w:divBdr>
        <w:top w:val="none" w:sz="0" w:space="0" w:color="auto"/>
        <w:left w:val="none" w:sz="0" w:space="0" w:color="auto"/>
        <w:bottom w:val="none" w:sz="0" w:space="0" w:color="auto"/>
        <w:right w:val="none" w:sz="0" w:space="0" w:color="auto"/>
      </w:divBdr>
      <w:divsChild>
        <w:div w:id="10255756">
          <w:marLeft w:val="0"/>
          <w:marRight w:val="0"/>
          <w:marTop w:val="0"/>
          <w:marBottom w:val="0"/>
          <w:divBdr>
            <w:top w:val="none" w:sz="0" w:space="0" w:color="auto"/>
            <w:left w:val="none" w:sz="0" w:space="0" w:color="auto"/>
            <w:bottom w:val="none" w:sz="0" w:space="0" w:color="auto"/>
            <w:right w:val="none" w:sz="0" w:space="0" w:color="auto"/>
          </w:divBdr>
        </w:div>
        <w:div w:id="88821046">
          <w:marLeft w:val="0"/>
          <w:marRight w:val="0"/>
          <w:marTop w:val="0"/>
          <w:marBottom w:val="0"/>
          <w:divBdr>
            <w:top w:val="none" w:sz="0" w:space="0" w:color="auto"/>
            <w:left w:val="none" w:sz="0" w:space="0" w:color="auto"/>
            <w:bottom w:val="none" w:sz="0" w:space="0" w:color="auto"/>
            <w:right w:val="none" w:sz="0" w:space="0" w:color="auto"/>
          </w:divBdr>
        </w:div>
        <w:div w:id="175926129">
          <w:marLeft w:val="0"/>
          <w:marRight w:val="0"/>
          <w:marTop w:val="0"/>
          <w:marBottom w:val="0"/>
          <w:divBdr>
            <w:top w:val="none" w:sz="0" w:space="0" w:color="auto"/>
            <w:left w:val="none" w:sz="0" w:space="0" w:color="auto"/>
            <w:bottom w:val="none" w:sz="0" w:space="0" w:color="auto"/>
            <w:right w:val="none" w:sz="0" w:space="0" w:color="auto"/>
          </w:divBdr>
        </w:div>
        <w:div w:id="190579886">
          <w:marLeft w:val="0"/>
          <w:marRight w:val="0"/>
          <w:marTop w:val="0"/>
          <w:marBottom w:val="0"/>
          <w:divBdr>
            <w:top w:val="none" w:sz="0" w:space="0" w:color="auto"/>
            <w:left w:val="none" w:sz="0" w:space="0" w:color="auto"/>
            <w:bottom w:val="none" w:sz="0" w:space="0" w:color="auto"/>
            <w:right w:val="none" w:sz="0" w:space="0" w:color="auto"/>
          </w:divBdr>
        </w:div>
        <w:div w:id="315376385">
          <w:marLeft w:val="0"/>
          <w:marRight w:val="0"/>
          <w:marTop w:val="0"/>
          <w:marBottom w:val="0"/>
          <w:divBdr>
            <w:top w:val="none" w:sz="0" w:space="0" w:color="auto"/>
            <w:left w:val="none" w:sz="0" w:space="0" w:color="auto"/>
            <w:bottom w:val="none" w:sz="0" w:space="0" w:color="auto"/>
            <w:right w:val="none" w:sz="0" w:space="0" w:color="auto"/>
          </w:divBdr>
        </w:div>
        <w:div w:id="476648387">
          <w:marLeft w:val="0"/>
          <w:marRight w:val="0"/>
          <w:marTop w:val="0"/>
          <w:marBottom w:val="0"/>
          <w:divBdr>
            <w:top w:val="none" w:sz="0" w:space="0" w:color="auto"/>
            <w:left w:val="none" w:sz="0" w:space="0" w:color="auto"/>
            <w:bottom w:val="none" w:sz="0" w:space="0" w:color="auto"/>
            <w:right w:val="none" w:sz="0" w:space="0" w:color="auto"/>
          </w:divBdr>
        </w:div>
        <w:div w:id="487552383">
          <w:marLeft w:val="0"/>
          <w:marRight w:val="0"/>
          <w:marTop w:val="0"/>
          <w:marBottom w:val="0"/>
          <w:divBdr>
            <w:top w:val="none" w:sz="0" w:space="0" w:color="auto"/>
            <w:left w:val="none" w:sz="0" w:space="0" w:color="auto"/>
            <w:bottom w:val="none" w:sz="0" w:space="0" w:color="auto"/>
            <w:right w:val="none" w:sz="0" w:space="0" w:color="auto"/>
          </w:divBdr>
        </w:div>
        <w:div w:id="510097941">
          <w:marLeft w:val="0"/>
          <w:marRight w:val="0"/>
          <w:marTop w:val="0"/>
          <w:marBottom w:val="0"/>
          <w:divBdr>
            <w:top w:val="none" w:sz="0" w:space="0" w:color="auto"/>
            <w:left w:val="none" w:sz="0" w:space="0" w:color="auto"/>
            <w:bottom w:val="none" w:sz="0" w:space="0" w:color="auto"/>
            <w:right w:val="none" w:sz="0" w:space="0" w:color="auto"/>
          </w:divBdr>
        </w:div>
        <w:div w:id="538975456">
          <w:marLeft w:val="0"/>
          <w:marRight w:val="0"/>
          <w:marTop w:val="0"/>
          <w:marBottom w:val="0"/>
          <w:divBdr>
            <w:top w:val="none" w:sz="0" w:space="0" w:color="auto"/>
            <w:left w:val="none" w:sz="0" w:space="0" w:color="auto"/>
            <w:bottom w:val="none" w:sz="0" w:space="0" w:color="auto"/>
            <w:right w:val="none" w:sz="0" w:space="0" w:color="auto"/>
          </w:divBdr>
        </w:div>
        <w:div w:id="621962345">
          <w:marLeft w:val="0"/>
          <w:marRight w:val="0"/>
          <w:marTop w:val="0"/>
          <w:marBottom w:val="0"/>
          <w:divBdr>
            <w:top w:val="none" w:sz="0" w:space="0" w:color="auto"/>
            <w:left w:val="none" w:sz="0" w:space="0" w:color="auto"/>
            <w:bottom w:val="none" w:sz="0" w:space="0" w:color="auto"/>
            <w:right w:val="none" w:sz="0" w:space="0" w:color="auto"/>
          </w:divBdr>
        </w:div>
        <w:div w:id="676813042">
          <w:marLeft w:val="0"/>
          <w:marRight w:val="0"/>
          <w:marTop w:val="0"/>
          <w:marBottom w:val="0"/>
          <w:divBdr>
            <w:top w:val="none" w:sz="0" w:space="0" w:color="auto"/>
            <w:left w:val="none" w:sz="0" w:space="0" w:color="auto"/>
            <w:bottom w:val="none" w:sz="0" w:space="0" w:color="auto"/>
            <w:right w:val="none" w:sz="0" w:space="0" w:color="auto"/>
          </w:divBdr>
        </w:div>
        <w:div w:id="727531518">
          <w:marLeft w:val="0"/>
          <w:marRight w:val="0"/>
          <w:marTop w:val="0"/>
          <w:marBottom w:val="0"/>
          <w:divBdr>
            <w:top w:val="none" w:sz="0" w:space="0" w:color="auto"/>
            <w:left w:val="none" w:sz="0" w:space="0" w:color="auto"/>
            <w:bottom w:val="none" w:sz="0" w:space="0" w:color="auto"/>
            <w:right w:val="none" w:sz="0" w:space="0" w:color="auto"/>
          </w:divBdr>
        </w:div>
        <w:div w:id="774834422">
          <w:marLeft w:val="0"/>
          <w:marRight w:val="0"/>
          <w:marTop w:val="0"/>
          <w:marBottom w:val="0"/>
          <w:divBdr>
            <w:top w:val="none" w:sz="0" w:space="0" w:color="auto"/>
            <w:left w:val="none" w:sz="0" w:space="0" w:color="auto"/>
            <w:bottom w:val="none" w:sz="0" w:space="0" w:color="auto"/>
            <w:right w:val="none" w:sz="0" w:space="0" w:color="auto"/>
          </w:divBdr>
        </w:div>
        <w:div w:id="999771357">
          <w:marLeft w:val="0"/>
          <w:marRight w:val="0"/>
          <w:marTop w:val="0"/>
          <w:marBottom w:val="0"/>
          <w:divBdr>
            <w:top w:val="none" w:sz="0" w:space="0" w:color="auto"/>
            <w:left w:val="none" w:sz="0" w:space="0" w:color="auto"/>
            <w:bottom w:val="none" w:sz="0" w:space="0" w:color="auto"/>
            <w:right w:val="none" w:sz="0" w:space="0" w:color="auto"/>
          </w:divBdr>
        </w:div>
        <w:div w:id="1025861049">
          <w:marLeft w:val="0"/>
          <w:marRight w:val="0"/>
          <w:marTop w:val="0"/>
          <w:marBottom w:val="0"/>
          <w:divBdr>
            <w:top w:val="none" w:sz="0" w:space="0" w:color="auto"/>
            <w:left w:val="none" w:sz="0" w:space="0" w:color="auto"/>
            <w:bottom w:val="none" w:sz="0" w:space="0" w:color="auto"/>
            <w:right w:val="none" w:sz="0" w:space="0" w:color="auto"/>
          </w:divBdr>
        </w:div>
        <w:div w:id="1082023721">
          <w:marLeft w:val="0"/>
          <w:marRight w:val="0"/>
          <w:marTop w:val="0"/>
          <w:marBottom w:val="0"/>
          <w:divBdr>
            <w:top w:val="none" w:sz="0" w:space="0" w:color="auto"/>
            <w:left w:val="none" w:sz="0" w:space="0" w:color="auto"/>
            <w:bottom w:val="none" w:sz="0" w:space="0" w:color="auto"/>
            <w:right w:val="none" w:sz="0" w:space="0" w:color="auto"/>
          </w:divBdr>
        </w:div>
        <w:div w:id="1255674095">
          <w:marLeft w:val="0"/>
          <w:marRight w:val="0"/>
          <w:marTop w:val="0"/>
          <w:marBottom w:val="0"/>
          <w:divBdr>
            <w:top w:val="none" w:sz="0" w:space="0" w:color="auto"/>
            <w:left w:val="none" w:sz="0" w:space="0" w:color="auto"/>
            <w:bottom w:val="none" w:sz="0" w:space="0" w:color="auto"/>
            <w:right w:val="none" w:sz="0" w:space="0" w:color="auto"/>
          </w:divBdr>
        </w:div>
        <w:div w:id="1326859008">
          <w:marLeft w:val="0"/>
          <w:marRight w:val="0"/>
          <w:marTop w:val="0"/>
          <w:marBottom w:val="0"/>
          <w:divBdr>
            <w:top w:val="none" w:sz="0" w:space="0" w:color="auto"/>
            <w:left w:val="none" w:sz="0" w:space="0" w:color="auto"/>
            <w:bottom w:val="none" w:sz="0" w:space="0" w:color="auto"/>
            <w:right w:val="none" w:sz="0" w:space="0" w:color="auto"/>
          </w:divBdr>
        </w:div>
        <w:div w:id="1364938551">
          <w:marLeft w:val="0"/>
          <w:marRight w:val="0"/>
          <w:marTop w:val="0"/>
          <w:marBottom w:val="0"/>
          <w:divBdr>
            <w:top w:val="none" w:sz="0" w:space="0" w:color="auto"/>
            <w:left w:val="none" w:sz="0" w:space="0" w:color="auto"/>
            <w:bottom w:val="none" w:sz="0" w:space="0" w:color="auto"/>
            <w:right w:val="none" w:sz="0" w:space="0" w:color="auto"/>
          </w:divBdr>
        </w:div>
        <w:div w:id="1399091782">
          <w:marLeft w:val="0"/>
          <w:marRight w:val="0"/>
          <w:marTop w:val="0"/>
          <w:marBottom w:val="0"/>
          <w:divBdr>
            <w:top w:val="none" w:sz="0" w:space="0" w:color="auto"/>
            <w:left w:val="none" w:sz="0" w:space="0" w:color="auto"/>
            <w:bottom w:val="none" w:sz="0" w:space="0" w:color="auto"/>
            <w:right w:val="none" w:sz="0" w:space="0" w:color="auto"/>
          </w:divBdr>
        </w:div>
        <w:div w:id="1436099605">
          <w:marLeft w:val="0"/>
          <w:marRight w:val="0"/>
          <w:marTop w:val="0"/>
          <w:marBottom w:val="0"/>
          <w:divBdr>
            <w:top w:val="none" w:sz="0" w:space="0" w:color="auto"/>
            <w:left w:val="none" w:sz="0" w:space="0" w:color="auto"/>
            <w:bottom w:val="none" w:sz="0" w:space="0" w:color="auto"/>
            <w:right w:val="none" w:sz="0" w:space="0" w:color="auto"/>
          </w:divBdr>
        </w:div>
        <w:div w:id="1747150105">
          <w:marLeft w:val="0"/>
          <w:marRight w:val="0"/>
          <w:marTop w:val="0"/>
          <w:marBottom w:val="0"/>
          <w:divBdr>
            <w:top w:val="none" w:sz="0" w:space="0" w:color="auto"/>
            <w:left w:val="none" w:sz="0" w:space="0" w:color="auto"/>
            <w:bottom w:val="none" w:sz="0" w:space="0" w:color="auto"/>
            <w:right w:val="none" w:sz="0" w:space="0" w:color="auto"/>
          </w:divBdr>
        </w:div>
        <w:div w:id="2097746389">
          <w:marLeft w:val="0"/>
          <w:marRight w:val="0"/>
          <w:marTop w:val="0"/>
          <w:marBottom w:val="0"/>
          <w:divBdr>
            <w:top w:val="none" w:sz="0" w:space="0" w:color="auto"/>
            <w:left w:val="none" w:sz="0" w:space="0" w:color="auto"/>
            <w:bottom w:val="none" w:sz="0" w:space="0" w:color="auto"/>
            <w:right w:val="none" w:sz="0" w:space="0" w:color="auto"/>
          </w:divBdr>
        </w:div>
        <w:div w:id="2115056248">
          <w:marLeft w:val="0"/>
          <w:marRight w:val="0"/>
          <w:marTop w:val="0"/>
          <w:marBottom w:val="0"/>
          <w:divBdr>
            <w:top w:val="none" w:sz="0" w:space="0" w:color="auto"/>
            <w:left w:val="none" w:sz="0" w:space="0" w:color="auto"/>
            <w:bottom w:val="none" w:sz="0" w:space="0" w:color="auto"/>
            <w:right w:val="none" w:sz="0" w:space="0" w:color="auto"/>
          </w:divBdr>
        </w:div>
      </w:divsChild>
    </w:div>
    <w:div w:id="482240549">
      <w:bodyDiv w:val="1"/>
      <w:marLeft w:val="0"/>
      <w:marRight w:val="0"/>
      <w:marTop w:val="0"/>
      <w:marBottom w:val="0"/>
      <w:divBdr>
        <w:top w:val="none" w:sz="0" w:space="0" w:color="auto"/>
        <w:left w:val="none" w:sz="0" w:space="0" w:color="auto"/>
        <w:bottom w:val="none" w:sz="0" w:space="0" w:color="auto"/>
        <w:right w:val="none" w:sz="0" w:space="0" w:color="auto"/>
      </w:divBdr>
    </w:div>
    <w:div w:id="491406913">
      <w:bodyDiv w:val="1"/>
      <w:marLeft w:val="0"/>
      <w:marRight w:val="0"/>
      <w:marTop w:val="0"/>
      <w:marBottom w:val="0"/>
      <w:divBdr>
        <w:top w:val="none" w:sz="0" w:space="0" w:color="auto"/>
        <w:left w:val="none" w:sz="0" w:space="0" w:color="auto"/>
        <w:bottom w:val="none" w:sz="0" w:space="0" w:color="auto"/>
        <w:right w:val="none" w:sz="0" w:space="0" w:color="auto"/>
      </w:divBdr>
    </w:div>
    <w:div w:id="515774855">
      <w:bodyDiv w:val="1"/>
      <w:marLeft w:val="0"/>
      <w:marRight w:val="0"/>
      <w:marTop w:val="0"/>
      <w:marBottom w:val="0"/>
      <w:divBdr>
        <w:top w:val="none" w:sz="0" w:space="0" w:color="auto"/>
        <w:left w:val="none" w:sz="0" w:space="0" w:color="auto"/>
        <w:bottom w:val="none" w:sz="0" w:space="0" w:color="auto"/>
        <w:right w:val="none" w:sz="0" w:space="0" w:color="auto"/>
      </w:divBdr>
      <w:divsChild>
        <w:div w:id="815731115">
          <w:marLeft w:val="0"/>
          <w:marRight w:val="0"/>
          <w:marTop w:val="0"/>
          <w:marBottom w:val="0"/>
          <w:divBdr>
            <w:top w:val="none" w:sz="0" w:space="0" w:color="auto"/>
            <w:left w:val="none" w:sz="0" w:space="0" w:color="auto"/>
            <w:bottom w:val="none" w:sz="0" w:space="0" w:color="auto"/>
            <w:right w:val="none" w:sz="0" w:space="0" w:color="auto"/>
          </w:divBdr>
        </w:div>
        <w:div w:id="1196230496">
          <w:marLeft w:val="0"/>
          <w:marRight w:val="0"/>
          <w:marTop w:val="0"/>
          <w:marBottom w:val="0"/>
          <w:divBdr>
            <w:top w:val="none" w:sz="0" w:space="0" w:color="auto"/>
            <w:left w:val="none" w:sz="0" w:space="0" w:color="auto"/>
            <w:bottom w:val="none" w:sz="0" w:space="0" w:color="auto"/>
            <w:right w:val="none" w:sz="0" w:space="0" w:color="auto"/>
          </w:divBdr>
        </w:div>
        <w:div w:id="2096315777">
          <w:marLeft w:val="0"/>
          <w:marRight w:val="0"/>
          <w:marTop w:val="0"/>
          <w:marBottom w:val="0"/>
          <w:divBdr>
            <w:top w:val="none" w:sz="0" w:space="0" w:color="auto"/>
            <w:left w:val="none" w:sz="0" w:space="0" w:color="auto"/>
            <w:bottom w:val="none" w:sz="0" w:space="0" w:color="auto"/>
            <w:right w:val="none" w:sz="0" w:space="0" w:color="auto"/>
          </w:divBdr>
        </w:div>
      </w:divsChild>
    </w:div>
    <w:div w:id="536744312">
      <w:bodyDiv w:val="1"/>
      <w:marLeft w:val="0"/>
      <w:marRight w:val="0"/>
      <w:marTop w:val="0"/>
      <w:marBottom w:val="0"/>
      <w:divBdr>
        <w:top w:val="none" w:sz="0" w:space="0" w:color="auto"/>
        <w:left w:val="none" w:sz="0" w:space="0" w:color="auto"/>
        <w:bottom w:val="none" w:sz="0" w:space="0" w:color="auto"/>
        <w:right w:val="none" w:sz="0" w:space="0" w:color="auto"/>
      </w:divBdr>
    </w:div>
    <w:div w:id="554658965">
      <w:bodyDiv w:val="1"/>
      <w:marLeft w:val="0"/>
      <w:marRight w:val="0"/>
      <w:marTop w:val="0"/>
      <w:marBottom w:val="0"/>
      <w:divBdr>
        <w:top w:val="none" w:sz="0" w:space="0" w:color="auto"/>
        <w:left w:val="none" w:sz="0" w:space="0" w:color="auto"/>
        <w:bottom w:val="none" w:sz="0" w:space="0" w:color="auto"/>
        <w:right w:val="none" w:sz="0" w:space="0" w:color="auto"/>
      </w:divBdr>
      <w:divsChild>
        <w:div w:id="502934292">
          <w:marLeft w:val="0"/>
          <w:marRight w:val="0"/>
          <w:marTop w:val="240"/>
          <w:marBottom w:val="240"/>
          <w:divBdr>
            <w:top w:val="none" w:sz="0" w:space="0" w:color="auto"/>
            <w:left w:val="none" w:sz="0" w:space="0" w:color="auto"/>
            <w:bottom w:val="none" w:sz="0" w:space="0" w:color="auto"/>
            <w:right w:val="none" w:sz="0" w:space="0" w:color="auto"/>
          </w:divBdr>
        </w:div>
      </w:divsChild>
    </w:div>
    <w:div w:id="558395907">
      <w:bodyDiv w:val="1"/>
      <w:marLeft w:val="0"/>
      <w:marRight w:val="0"/>
      <w:marTop w:val="0"/>
      <w:marBottom w:val="0"/>
      <w:divBdr>
        <w:top w:val="none" w:sz="0" w:space="0" w:color="auto"/>
        <w:left w:val="none" w:sz="0" w:space="0" w:color="auto"/>
        <w:bottom w:val="none" w:sz="0" w:space="0" w:color="auto"/>
        <w:right w:val="none" w:sz="0" w:space="0" w:color="auto"/>
      </w:divBdr>
    </w:div>
    <w:div w:id="559249463">
      <w:bodyDiv w:val="1"/>
      <w:marLeft w:val="0"/>
      <w:marRight w:val="0"/>
      <w:marTop w:val="0"/>
      <w:marBottom w:val="0"/>
      <w:divBdr>
        <w:top w:val="none" w:sz="0" w:space="0" w:color="auto"/>
        <w:left w:val="none" w:sz="0" w:space="0" w:color="auto"/>
        <w:bottom w:val="none" w:sz="0" w:space="0" w:color="auto"/>
        <w:right w:val="none" w:sz="0" w:space="0" w:color="auto"/>
      </w:divBdr>
      <w:divsChild>
        <w:div w:id="418479595">
          <w:marLeft w:val="0"/>
          <w:marRight w:val="0"/>
          <w:marTop w:val="0"/>
          <w:marBottom w:val="0"/>
          <w:divBdr>
            <w:top w:val="none" w:sz="0" w:space="0" w:color="auto"/>
            <w:left w:val="none" w:sz="0" w:space="0" w:color="auto"/>
            <w:bottom w:val="none" w:sz="0" w:space="0" w:color="auto"/>
            <w:right w:val="none" w:sz="0" w:space="0" w:color="auto"/>
          </w:divBdr>
        </w:div>
        <w:div w:id="927426502">
          <w:marLeft w:val="0"/>
          <w:marRight w:val="0"/>
          <w:marTop w:val="0"/>
          <w:marBottom w:val="0"/>
          <w:divBdr>
            <w:top w:val="none" w:sz="0" w:space="0" w:color="auto"/>
            <w:left w:val="none" w:sz="0" w:space="0" w:color="auto"/>
            <w:bottom w:val="none" w:sz="0" w:space="0" w:color="auto"/>
            <w:right w:val="none" w:sz="0" w:space="0" w:color="auto"/>
          </w:divBdr>
        </w:div>
        <w:div w:id="1039204623">
          <w:marLeft w:val="0"/>
          <w:marRight w:val="0"/>
          <w:marTop w:val="0"/>
          <w:marBottom w:val="0"/>
          <w:divBdr>
            <w:top w:val="none" w:sz="0" w:space="0" w:color="auto"/>
            <w:left w:val="none" w:sz="0" w:space="0" w:color="auto"/>
            <w:bottom w:val="none" w:sz="0" w:space="0" w:color="auto"/>
            <w:right w:val="none" w:sz="0" w:space="0" w:color="auto"/>
          </w:divBdr>
        </w:div>
        <w:div w:id="1066415169">
          <w:marLeft w:val="0"/>
          <w:marRight w:val="0"/>
          <w:marTop w:val="0"/>
          <w:marBottom w:val="0"/>
          <w:divBdr>
            <w:top w:val="none" w:sz="0" w:space="0" w:color="auto"/>
            <w:left w:val="none" w:sz="0" w:space="0" w:color="auto"/>
            <w:bottom w:val="none" w:sz="0" w:space="0" w:color="auto"/>
            <w:right w:val="none" w:sz="0" w:space="0" w:color="auto"/>
          </w:divBdr>
        </w:div>
        <w:div w:id="1167137447">
          <w:marLeft w:val="0"/>
          <w:marRight w:val="0"/>
          <w:marTop w:val="0"/>
          <w:marBottom w:val="0"/>
          <w:divBdr>
            <w:top w:val="none" w:sz="0" w:space="0" w:color="auto"/>
            <w:left w:val="none" w:sz="0" w:space="0" w:color="auto"/>
            <w:bottom w:val="none" w:sz="0" w:space="0" w:color="auto"/>
            <w:right w:val="none" w:sz="0" w:space="0" w:color="auto"/>
          </w:divBdr>
        </w:div>
        <w:div w:id="1545753477">
          <w:marLeft w:val="0"/>
          <w:marRight w:val="0"/>
          <w:marTop w:val="0"/>
          <w:marBottom w:val="0"/>
          <w:divBdr>
            <w:top w:val="none" w:sz="0" w:space="0" w:color="auto"/>
            <w:left w:val="none" w:sz="0" w:space="0" w:color="auto"/>
            <w:bottom w:val="none" w:sz="0" w:space="0" w:color="auto"/>
            <w:right w:val="none" w:sz="0" w:space="0" w:color="auto"/>
          </w:divBdr>
        </w:div>
      </w:divsChild>
    </w:div>
    <w:div w:id="572157351">
      <w:bodyDiv w:val="1"/>
      <w:marLeft w:val="0"/>
      <w:marRight w:val="0"/>
      <w:marTop w:val="0"/>
      <w:marBottom w:val="0"/>
      <w:divBdr>
        <w:top w:val="none" w:sz="0" w:space="0" w:color="auto"/>
        <w:left w:val="none" w:sz="0" w:space="0" w:color="auto"/>
        <w:bottom w:val="none" w:sz="0" w:space="0" w:color="auto"/>
        <w:right w:val="none" w:sz="0" w:space="0" w:color="auto"/>
      </w:divBdr>
    </w:div>
    <w:div w:id="585458730">
      <w:bodyDiv w:val="1"/>
      <w:marLeft w:val="0"/>
      <w:marRight w:val="0"/>
      <w:marTop w:val="0"/>
      <w:marBottom w:val="0"/>
      <w:divBdr>
        <w:top w:val="none" w:sz="0" w:space="0" w:color="auto"/>
        <w:left w:val="none" w:sz="0" w:space="0" w:color="auto"/>
        <w:bottom w:val="none" w:sz="0" w:space="0" w:color="auto"/>
        <w:right w:val="none" w:sz="0" w:space="0" w:color="auto"/>
      </w:divBdr>
    </w:div>
    <w:div w:id="595331169">
      <w:bodyDiv w:val="1"/>
      <w:marLeft w:val="0"/>
      <w:marRight w:val="0"/>
      <w:marTop w:val="0"/>
      <w:marBottom w:val="0"/>
      <w:divBdr>
        <w:top w:val="none" w:sz="0" w:space="0" w:color="auto"/>
        <w:left w:val="none" w:sz="0" w:space="0" w:color="auto"/>
        <w:bottom w:val="none" w:sz="0" w:space="0" w:color="auto"/>
        <w:right w:val="none" w:sz="0" w:space="0" w:color="auto"/>
      </w:divBdr>
      <w:divsChild>
        <w:div w:id="246305359">
          <w:marLeft w:val="1166"/>
          <w:marRight w:val="0"/>
          <w:marTop w:val="0"/>
          <w:marBottom w:val="0"/>
          <w:divBdr>
            <w:top w:val="none" w:sz="0" w:space="0" w:color="auto"/>
            <w:left w:val="none" w:sz="0" w:space="0" w:color="auto"/>
            <w:bottom w:val="none" w:sz="0" w:space="0" w:color="auto"/>
            <w:right w:val="none" w:sz="0" w:space="0" w:color="auto"/>
          </w:divBdr>
        </w:div>
        <w:div w:id="310718441">
          <w:marLeft w:val="1166"/>
          <w:marRight w:val="0"/>
          <w:marTop w:val="0"/>
          <w:marBottom w:val="0"/>
          <w:divBdr>
            <w:top w:val="none" w:sz="0" w:space="0" w:color="auto"/>
            <w:left w:val="none" w:sz="0" w:space="0" w:color="auto"/>
            <w:bottom w:val="none" w:sz="0" w:space="0" w:color="auto"/>
            <w:right w:val="none" w:sz="0" w:space="0" w:color="auto"/>
          </w:divBdr>
        </w:div>
        <w:div w:id="442531691">
          <w:marLeft w:val="446"/>
          <w:marRight w:val="0"/>
          <w:marTop w:val="0"/>
          <w:marBottom w:val="0"/>
          <w:divBdr>
            <w:top w:val="none" w:sz="0" w:space="0" w:color="auto"/>
            <w:left w:val="none" w:sz="0" w:space="0" w:color="auto"/>
            <w:bottom w:val="none" w:sz="0" w:space="0" w:color="auto"/>
            <w:right w:val="none" w:sz="0" w:space="0" w:color="auto"/>
          </w:divBdr>
        </w:div>
        <w:div w:id="719285943">
          <w:marLeft w:val="1166"/>
          <w:marRight w:val="0"/>
          <w:marTop w:val="0"/>
          <w:marBottom w:val="0"/>
          <w:divBdr>
            <w:top w:val="none" w:sz="0" w:space="0" w:color="auto"/>
            <w:left w:val="none" w:sz="0" w:space="0" w:color="auto"/>
            <w:bottom w:val="none" w:sz="0" w:space="0" w:color="auto"/>
            <w:right w:val="none" w:sz="0" w:space="0" w:color="auto"/>
          </w:divBdr>
        </w:div>
        <w:div w:id="842016101">
          <w:marLeft w:val="1166"/>
          <w:marRight w:val="0"/>
          <w:marTop w:val="0"/>
          <w:marBottom w:val="0"/>
          <w:divBdr>
            <w:top w:val="none" w:sz="0" w:space="0" w:color="auto"/>
            <w:left w:val="none" w:sz="0" w:space="0" w:color="auto"/>
            <w:bottom w:val="none" w:sz="0" w:space="0" w:color="auto"/>
            <w:right w:val="none" w:sz="0" w:space="0" w:color="auto"/>
          </w:divBdr>
        </w:div>
        <w:div w:id="1550189590">
          <w:marLeft w:val="1166"/>
          <w:marRight w:val="0"/>
          <w:marTop w:val="0"/>
          <w:marBottom w:val="0"/>
          <w:divBdr>
            <w:top w:val="none" w:sz="0" w:space="0" w:color="auto"/>
            <w:left w:val="none" w:sz="0" w:space="0" w:color="auto"/>
            <w:bottom w:val="none" w:sz="0" w:space="0" w:color="auto"/>
            <w:right w:val="none" w:sz="0" w:space="0" w:color="auto"/>
          </w:divBdr>
        </w:div>
        <w:div w:id="1908491179">
          <w:marLeft w:val="1166"/>
          <w:marRight w:val="0"/>
          <w:marTop w:val="0"/>
          <w:marBottom w:val="0"/>
          <w:divBdr>
            <w:top w:val="none" w:sz="0" w:space="0" w:color="auto"/>
            <w:left w:val="none" w:sz="0" w:space="0" w:color="auto"/>
            <w:bottom w:val="none" w:sz="0" w:space="0" w:color="auto"/>
            <w:right w:val="none" w:sz="0" w:space="0" w:color="auto"/>
          </w:divBdr>
        </w:div>
        <w:div w:id="2119716406">
          <w:marLeft w:val="446"/>
          <w:marRight w:val="0"/>
          <w:marTop w:val="0"/>
          <w:marBottom w:val="0"/>
          <w:divBdr>
            <w:top w:val="none" w:sz="0" w:space="0" w:color="auto"/>
            <w:left w:val="none" w:sz="0" w:space="0" w:color="auto"/>
            <w:bottom w:val="none" w:sz="0" w:space="0" w:color="auto"/>
            <w:right w:val="none" w:sz="0" w:space="0" w:color="auto"/>
          </w:divBdr>
        </w:div>
      </w:divsChild>
    </w:div>
    <w:div w:id="607471901">
      <w:bodyDiv w:val="1"/>
      <w:marLeft w:val="0"/>
      <w:marRight w:val="0"/>
      <w:marTop w:val="0"/>
      <w:marBottom w:val="0"/>
      <w:divBdr>
        <w:top w:val="none" w:sz="0" w:space="0" w:color="auto"/>
        <w:left w:val="none" w:sz="0" w:space="0" w:color="auto"/>
        <w:bottom w:val="none" w:sz="0" w:space="0" w:color="auto"/>
        <w:right w:val="none" w:sz="0" w:space="0" w:color="auto"/>
      </w:divBdr>
    </w:div>
    <w:div w:id="618486684">
      <w:bodyDiv w:val="1"/>
      <w:marLeft w:val="0"/>
      <w:marRight w:val="0"/>
      <w:marTop w:val="0"/>
      <w:marBottom w:val="0"/>
      <w:divBdr>
        <w:top w:val="none" w:sz="0" w:space="0" w:color="auto"/>
        <w:left w:val="none" w:sz="0" w:space="0" w:color="auto"/>
        <w:bottom w:val="none" w:sz="0" w:space="0" w:color="auto"/>
        <w:right w:val="none" w:sz="0" w:space="0" w:color="auto"/>
      </w:divBdr>
      <w:divsChild>
        <w:div w:id="24793678">
          <w:marLeft w:val="0"/>
          <w:marRight w:val="0"/>
          <w:marTop w:val="0"/>
          <w:marBottom w:val="0"/>
          <w:divBdr>
            <w:top w:val="none" w:sz="0" w:space="0" w:color="auto"/>
            <w:left w:val="none" w:sz="0" w:space="0" w:color="auto"/>
            <w:bottom w:val="none" w:sz="0" w:space="0" w:color="auto"/>
            <w:right w:val="none" w:sz="0" w:space="0" w:color="auto"/>
          </w:divBdr>
        </w:div>
        <w:div w:id="74741850">
          <w:marLeft w:val="0"/>
          <w:marRight w:val="0"/>
          <w:marTop w:val="0"/>
          <w:marBottom w:val="0"/>
          <w:divBdr>
            <w:top w:val="none" w:sz="0" w:space="0" w:color="auto"/>
            <w:left w:val="none" w:sz="0" w:space="0" w:color="auto"/>
            <w:bottom w:val="none" w:sz="0" w:space="0" w:color="auto"/>
            <w:right w:val="none" w:sz="0" w:space="0" w:color="auto"/>
          </w:divBdr>
        </w:div>
        <w:div w:id="1028292163">
          <w:marLeft w:val="0"/>
          <w:marRight w:val="0"/>
          <w:marTop w:val="0"/>
          <w:marBottom w:val="0"/>
          <w:divBdr>
            <w:top w:val="none" w:sz="0" w:space="0" w:color="auto"/>
            <w:left w:val="none" w:sz="0" w:space="0" w:color="auto"/>
            <w:bottom w:val="none" w:sz="0" w:space="0" w:color="auto"/>
            <w:right w:val="none" w:sz="0" w:space="0" w:color="auto"/>
          </w:divBdr>
        </w:div>
        <w:div w:id="1102997473">
          <w:marLeft w:val="0"/>
          <w:marRight w:val="0"/>
          <w:marTop w:val="0"/>
          <w:marBottom w:val="0"/>
          <w:divBdr>
            <w:top w:val="none" w:sz="0" w:space="0" w:color="auto"/>
            <w:left w:val="none" w:sz="0" w:space="0" w:color="auto"/>
            <w:bottom w:val="none" w:sz="0" w:space="0" w:color="auto"/>
            <w:right w:val="none" w:sz="0" w:space="0" w:color="auto"/>
          </w:divBdr>
        </w:div>
      </w:divsChild>
    </w:div>
    <w:div w:id="628903405">
      <w:bodyDiv w:val="1"/>
      <w:marLeft w:val="0"/>
      <w:marRight w:val="0"/>
      <w:marTop w:val="0"/>
      <w:marBottom w:val="0"/>
      <w:divBdr>
        <w:top w:val="none" w:sz="0" w:space="0" w:color="auto"/>
        <w:left w:val="none" w:sz="0" w:space="0" w:color="auto"/>
        <w:bottom w:val="none" w:sz="0" w:space="0" w:color="auto"/>
        <w:right w:val="none" w:sz="0" w:space="0" w:color="auto"/>
      </w:divBdr>
      <w:divsChild>
        <w:div w:id="122238459">
          <w:marLeft w:val="1166"/>
          <w:marRight w:val="0"/>
          <w:marTop w:val="0"/>
          <w:marBottom w:val="0"/>
          <w:divBdr>
            <w:top w:val="none" w:sz="0" w:space="0" w:color="auto"/>
            <w:left w:val="none" w:sz="0" w:space="0" w:color="auto"/>
            <w:bottom w:val="none" w:sz="0" w:space="0" w:color="auto"/>
            <w:right w:val="none" w:sz="0" w:space="0" w:color="auto"/>
          </w:divBdr>
        </w:div>
        <w:div w:id="1124620916">
          <w:marLeft w:val="446"/>
          <w:marRight w:val="0"/>
          <w:marTop w:val="0"/>
          <w:marBottom w:val="0"/>
          <w:divBdr>
            <w:top w:val="none" w:sz="0" w:space="0" w:color="auto"/>
            <w:left w:val="none" w:sz="0" w:space="0" w:color="auto"/>
            <w:bottom w:val="none" w:sz="0" w:space="0" w:color="auto"/>
            <w:right w:val="none" w:sz="0" w:space="0" w:color="auto"/>
          </w:divBdr>
        </w:div>
        <w:div w:id="1338386797">
          <w:marLeft w:val="1166"/>
          <w:marRight w:val="0"/>
          <w:marTop w:val="0"/>
          <w:marBottom w:val="0"/>
          <w:divBdr>
            <w:top w:val="none" w:sz="0" w:space="0" w:color="auto"/>
            <w:left w:val="none" w:sz="0" w:space="0" w:color="auto"/>
            <w:bottom w:val="none" w:sz="0" w:space="0" w:color="auto"/>
            <w:right w:val="none" w:sz="0" w:space="0" w:color="auto"/>
          </w:divBdr>
        </w:div>
        <w:div w:id="1355427375">
          <w:marLeft w:val="446"/>
          <w:marRight w:val="0"/>
          <w:marTop w:val="0"/>
          <w:marBottom w:val="0"/>
          <w:divBdr>
            <w:top w:val="none" w:sz="0" w:space="0" w:color="auto"/>
            <w:left w:val="none" w:sz="0" w:space="0" w:color="auto"/>
            <w:bottom w:val="none" w:sz="0" w:space="0" w:color="auto"/>
            <w:right w:val="none" w:sz="0" w:space="0" w:color="auto"/>
          </w:divBdr>
        </w:div>
        <w:div w:id="1610314082">
          <w:marLeft w:val="1166"/>
          <w:marRight w:val="0"/>
          <w:marTop w:val="0"/>
          <w:marBottom w:val="0"/>
          <w:divBdr>
            <w:top w:val="none" w:sz="0" w:space="0" w:color="auto"/>
            <w:left w:val="none" w:sz="0" w:space="0" w:color="auto"/>
            <w:bottom w:val="none" w:sz="0" w:space="0" w:color="auto"/>
            <w:right w:val="none" w:sz="0" w:space="0" w:color="auto"/>
          </w:divBdr>
        </w:div>
        <w:div w:id="1677533527">
          <w:marLeft w:val="1166"/>
          <w:marRight w:val="0"/>
          <w:marTop w:val="0"/>
          <w:marBottom w:val="0"/>
          <w:divBdr>
            <w:top w:val="none" w:sz="0" w:space="0" w:color="auto"/>
            <w:left w:val="none" w:sz="0" w:space="0" w:color="auto"/>
            <w:bottom w:val="none" w:sz="0" w:space="0" w:color="auto"/>
            <w:right w:val="none" w:sz="0" w:space="0" w:color="auto"/>
          </w:divBdr>
        </w:div>
        <w:div w:id="1729913796">
          <w:marLeft w:val="446"/>
          <w:marRight w:val="0"/>
          <w:marTop w:val="0"/>
          <w:marBottom w:val="0"/>
          <w:divBdr>
            <w:top w:val="none" w:sz="0" w:space="0" w:color="auto"/>
            <w:left w:val="none" w:sz="0" w:space="0" w:color="auto"/>
            <w:bottom w:val="none" w:sz="0" w:space="0" w:color="auto"/>
            <w:right w:val="none" w:sz="0" w:space="0" w:color="auto"/>
          </w:divBdr>
        </w:div>
      </w:divsChild>
    </w:div>
    <w:div w:id="634144271">
      <w:bodyDiv w:val="1"/>
      <w:marLeft w:val="0"/>
      <w:marRight w:val="0"/>
      <w:marTop w:val="0"/>
      <w:marBottom w:val="0"/>
      <w:divBdr>
        <w:top w:val="none" w:sz="0" w:space="0" w:color="auto"/>
        <w:left w:val="none" w:sz="0" w:space="0" w:color="auto"/>
        <w:bottom w:val="none" w:sz="0" w:space="0" w:color="auto"/>
        <w:right w:val="none" w:sz="0" w:space="0" w:color="auto"/>
      </w:divBdr>
    </w:div>
    <w:div w:id="646741981">
      <w:bodyDiv w:val="1"/>
      <w:marLeft w:val="0"/>
      <w:marRight w:val="0"/>
      <w:marTop w:val="0"/>
      <w:marBottom w:val="0"/>
      <w:divBdr>
        <w:top w:val="none" w:sz="0" w:space="0" w:color="auto"/>
        <w:left w:val="none" w:sz="0" w:space="0" w:color="auto"/>
        <w:bottom w:val="none" w:sz="0" w:space="0" w:color="auto"/>
        <w:right w:val="none" w:sz="0" w:space="0" w:color="auto"/>
      </w:divBdr>
      <w:divsChild>
        <w:div w:id="54935835">
          <w:marLeft w:val="0"/>
          <w:marRight w:val="0"/>
          <w:marTop w:val="0"/>
          <w:marBottom w:val="0"/>
          <w:divBdr>
            <w:top w:val="none" w:sz="0" w:space="0" w:color="auto"/>
            <w:left w:val="none" w:sz="0" w:space="0" w:color="auto"/>
            <w:bottom w:val="none" w:sz="0" w:space="0" w:color="auto"/>
            <w:right w:val="none" w:sz="0" w:space="0" w:color="auto"/>
          </w:divBdr>
        </w:div>
        <w:div w:id="113984295">
          <w:marLeft w:val="0"/>
          <w:marRight w:val="0"/>
          <w:marTop w:val="0"/>
          <w:marBottom w:val="0"/>
          <w:divBdr>
            <w:top w:val="none" w:sz="0" w:space="0" w:color="auto"/>
            <w:left w:val="none" w:sz="0" w:space="0" w:color="auto"/>
            <w:bottom w:val="none" w:sz="0" w:space="0" w:color="auto"/>
            <w:right w:val="none" w:sz="0" w:space="0" w:color="auto"/>
          </w:divBdr>
        </w:div>
        <w:div w:id="195047932">
          <w:marLeft w:val="0"/>
          <w:marRight w:val="0"/>
          <w:marTop w:val="0"/>
          <w:marBottom w:val="0"/>
          <w:divBdr>
            <w:top w:val="none" w:sz="0" w:space="0" w:color="auto"/>
            <w:left w:val="none" w:sz="0" w:space="0" w:color="auto"/>
            <w:bottom w:val="none" w:sz="0" w:space="0" w:color="auto"/>
            <w:right w:val="none" w:sz="0" w:space="0" w:color="auto"/>
          </w:divBdr>
        </w:div>
        <w:div w:id="209726281">
          <w:marLeft w:val="0"/>
          <w:marRight w:val="0"/>
          <w:marTop w:val="0"/>
          <w:marBottom w:val="0"/>
          <w:divBdr>
            <w:top w:val="none" w:sz="0" w:space="0" w:color="auto"/>
            <w:left w:val="none" w:sz="0" w:space="0" w:color="auto"/>
            <w:bottom w:val="none" w:sz="0" w:space="0" w:color="auto"/>
            <w:right w:val="none" w:sz="0" w:space="0" w:color="auto"/>
          </w:divBdr>
        </w:div>
        <w:div w:id="237371655">
          <w:marLeft w:val="0"/>
          <w:marRight w:val="0"/>
          <w:marTop w:val="0"/>
          <w:marBottom w:val="0"/>
          <w:divBdr>
            <w:top w:val="none" w:sz="0" w:space="0" w:color="auto"/>
            <w:left w:val="none" w:sz="0" w:space="0" w:color="auto"/>
            <w:bottom w:val="none" w:sz="0" w:space="0" w:color="auto"/>
            <w:right w:val="none" w:sz="0" w:space="0" w:color="auto"/>
          </w:divBdr>
        </w:div>
        <w:div w:id="286395920">
          <w:marLeft w:val="0"/>
          <w:marRight w:val="0"/>
          <w:marTop w:val="0"/>
          <w:marBottom w:val="0"/>
          <w:divBdr>
            <w:top w:val="none" w:sz="0" w:space="0" w:color="auto"/>
            <w:left w:val="none" w:sz="0" w:space="0" w:color="auto"/>
            <w:bottom w:val="none" w:sz="0" w:space="0" w:color="auto"/>
            <w:right w:val="none" w:sz="0" w:space="0" w:color="auto"/>
          </w:divBdr>
        </w:div>
        <w:div w:id="320699499">
          <w:marLeft w:val="0"/>
          <w:marRight w:val="0"/>
          <w:marTop w:val="0"/>
          <w:marBottom w:val="0"/>
          <w:divBdr>
            <w:top w:val="none" w:sz="0" w:space="0" w:color="auto"/>
            <w:left w:val="none" w:sz="0" w:space="0" w:color="auto"/>
            <w:bottom w:val="none" w:sz="0" w:space="0" w:color="auto"/>
            <w:right w:val="none" w:sz="0" w:space="0" w:color="auto"/>
          </w:divBdr>
        </w:div>
        <w:div w:id="354312560">
          <w:marLeft w:val="0"/>
          <w:marRight w:val="0"/>
          <w:marTop w:val="0"/>
          <w:marBottom w:val="0"/>
          <w:divBdr>
            <w:top w:val="none" w:sz="0" w:space="0" w:color="auto"/>
            <w:left w:val="none" w:sz="0" w:space="0" w:color="auto"/>
            <w:bottom w:val="none" w:sz="0" w:space="0" w:color="auto"/>
            <w:right w:val="none" w:sz="0" w:space="0" w:color="auto"/>
          </w:divBdr>
        </w:div>
        <w:div w:id="355471397">
          <w:marLeft w:val="0"/>
          <w:marRight w:val="0"/>
          <w:marTop w:val="0"/>
          <w:marBottom w:val="0"/>
          <w:divBdr>
            <w:top w:val="none" w:sz="0" w:space="0" w:color="auto"/>
            <w:left w:val="none" w:sz="0" w:space="0" w:color="auto"/>
            <w:bottom w:val="none" w:sz="0" w:space="0" w:color="auto"/>
            <w:right w:val="none" w:sz="0" w:space="0" w:color="auto"/>
          </w:divBdr>
        </w:div>
        <w:div w:id="359012149">
          <w:marLeft w:val="0"/>
          <w:marRight w:val="0"/>
          <w:marTop w:val="0"/>
          <w:marBottom w:val="0"/>
          <w:divBdr>
            <w:top w:val="none" w:sz="0" w:space="0" w:color="auto"/>
            <w:left w:val="none" w:sz="0" w:space="0" w:color="auto"/>
            <w:bottom w:val="none" w:sz="0" w:space="0" w:color="auto"/>
            <w:right w:val="none" w:sz="0" w:space="0" w:color="auto"/>
          </w:divBdr>
        </w:div>
        <w:div w:id="366952033">
          <w:marLeft w:val="0"/>
          <w:marRight w:val="0"/>
          <w:marTop w:val="0"/>
          <w:marBottom w:val="0"/>
          <w:divBdr>
            <w:top w:val="none" w:sz="0" w:space="0" w:color="auto"/>
            <w:left w:val="none" w:sz="0" w:space="0" w:color="auto"/>
            <w:bottom w:val="none" w:sz="0" w:space="0" w:color="auto"/>
            <w:right w:val="none" w:sz="0" w:space="0" w:color="auto"/>
          </w:divBdr>
        </w:div>
        <w:div w:id="395864168">
          <w:marLeft w:val="0"/>
          <w:marRight w:val="0"/>
          <w:marTop w:val="0"/>
          <w:marBottom w:val="0"/>
          <w:divBdr>
            <w:top w:val="none" w:sz="0" w:space="0" w:color="auto"/>
            <w:left w:val="none" w:sz="0" w:space="0" w:color="auto"/>
            <w:bottom w:val="none" w:sz="0" w:space="0" w:color="auto"/>
            <w:right w:val="none" w:sz="0" w:space="0" w:color="auto"/>
          </w:divBdr>
        </w:div>
        <w:div w:id="411395992">
          <w:marLeft w:val="0"/>
          <w:marRight w:val="0"/>
          <w:marTop w:val="0"/>
          <w:marBottom w:val="0"/>
          <w:divBdr>
            <w:top w:val="none" w:sz="0" w:space="0" w:color="auto"/>
            <w:left w:val="none" w:sz="0" w:space="0" w:color="auto"/>
            <w:bottom w:val="none" w:sz="0" w:space="0" w:color="auto"/>
            <w:right w:val="none" w:sz="0" w:space="0" w:color="auto"/>
          </w:divBdr>
        </w:div>
        <w:div w:id="418253383">
          <w:marLeft w:val="0"/>
          <w:marRight w:val="0"/>
          <w:marTop w:val="0"/>
          <w:marBottom w:val="0"/>
          <w:divBdr>
            <w:top w:val="none" w:sz="0" w:space="0" w:color="auto"/>
            <w:left w:val="none" w:sz="0" w:space="0" w:color="auto"/>
            <w:bottom w:val="none" w:sz="0" w:space="0" w:color="auto"/>
            <w:right w:val="none" w:sz="0" w:space="0" w:color="auto"/>
          </w:divBdr>
        </w:div>
        <w:div w:id="455611200">
          <w:marLeft w:val="0"/>
          <w:marRight w:val="0"/>
          <w:marTop w:val="0"/>
          <w:marBottom w:val="0"/>
          <w:divBdr>
            <w:top w:val="none" w:sz="0" w:space="0" w:color="auto"/>
            <w:left w:val="none" w:sz="0" w:space="0" w:color="auto"/>
            <w:bottom w:val="none" w:sz="0" w:space="0" w:color="auto"/>
            <w:right w:val="none" w:sz="0" w:space="0" w:color="auto"/>
          </w:divBdr>
        </w:div>
        <w:div w:id="479466294">
          <w:marLeft w:val="0"/>
          <w:marRight w:val="0"/>
          <w:marTop w:val="0"/>
          <w:marBottom w:val="0"/>
          <w:divBdr>
            <w:top w:val="none" w:sz="0" w:space="0" w:color="auto"/>
            <w:left w:val="none" w:sz="0" w:space="0" w:color="auto"/>
            <w:bottom w:val="none" w:sz="0" w:space="0" w:color="auto"/>
            <w:right w:val="none" w:sz="0" w:space="0" w:color="auto"/>
          </w:divBdr>
        </w:div>
        <w:div w:id="503979630">
          <w:marLeft w:val="0"/>
          <w:marRight w:val="0"/>
          <w:marTop w:val="0"/>
          <w:marBottom w:val="0"/>
          <w:divBdr>
            <w:top w:val="none" w:sz="0" w:space="0" w:color="auto"/>
            <w:left w:val="none" w:sz="0" w:space="0" w:color="auto"/>
            <w:bottom w:val="none" w:sz="0" w:space="0" w:color="auto"/>
            <w:right w:val="none" w:sz="0" w:space="0" w:color="auto"/>
          </w:divBdr>
        </w:div>
        <w:div w:id="608708999">
          <w:marLeft w:val="0"/>
          <w:marRight w:val="0"/>
          <w:marTop w:val="0"/>
          <w:marBottom w:val="0"/>
          <w:divBdr>
            <w:top w:val="none" w:sz="0" w:space="0" w:color="auto"/>
            <w:left w:val="none" w:sz="0" w:space="0" w:color="auto"/>
            <w:bottom w:val="none" w:sz="0" w:space="0" w:color="auto"/>
            <w:right w:val="none" w:sz="0" w:space="0" w:color="auto"/>
          </w:divBdr>
        </w:div>
        <w:div w:id="627664770">
          <w:marLeft w:val="0"/>
          <w:marRight w:val="0"/>
          <w:marTop w:val="0"/>
          <w:marBottom w:val="0"/>
          <w:divBdr>
            <w:top w:val="none" w:sz="0" w:space="0" w:color="auto"/>
            <w:left w:val="none" w:sz="0" w:space="0" w:color="auto"/>
            <w:bottom w:val="none" w:sz="0" w:space="0" w:color="auto"/>
            <w:right w:val="none" w:sz="0" w:space="0" w:color="auto"/>
          </w:divBdr>
        </w:div>
        <w:div w:id="642853724">
          <w:marLeft w:val="0"/>
          <w:marRight w:val="0"/>
          <w:marTop w:val="0"/>
          <w:marBottom w:val="0"/>
          <w:divBdr>
            <w:top w:val="none" w:sz="0" w:space="0" w:color="auto"/>
            <w:left w:val="none" w:sz="0" w:space="0" w:color="auto"/>
            <w:bottom w:val="none" w:sz="0" w:space="0" w:color="auto"/>
            <w:right w:val="none" w:sz="0" w:space="0" w:color="auto"/>
          </w:divBdr>
        </w:div>
        <w:div w:id="642856414">
          <w:marLeft w:val="0"/>
          <w:marRight w:val="0"/>
          <w:marTop w:val="0"/>
          <w:marBottom w:val="0"/>
          <w:divBdr>
            <w:top w:val="none" w:sz="0" w:space="0" w:color="auto"/>
            <w:left w:val="none" w:sz="0" w:space="0" w:color="auto"/>
            <w:bottom w:val="none" w:sz="0" w:space="0" w:color="auto"/>
            <w:right w:val="none" w:sz="0" w:space="0" w:color="auto"/>
          </w:divBdr>
        </w:div>
        <w:div w:id="650065061">
          <w:marLeft w:val="0"/>
          <w:marRight w:val="0"/>
          <w:marTop w:val="0"/>
          <w:marBottom w:val="0"/>
          <w:divBdr>
            <w:top w:val="none" w:sz="0" w:space="0" w:color="auto"/>
            <w:left w:val="none" w:sz="0" w:space="0" w:color="auto"/>
            <w:bottom w:val="none" w:sz="0" w:space="0" w:color="auto"/>
            <w:right w:val="none" w:sz="0" w:space="0" w:color="auto"/>
          </w:divBdr>
        </w:div>
        <w:div w:id="651182099">
          <w:marLeft w:val="0"/>
          <w:marRight w:val="0"/>
          <w:marTop w:val="0"/>
          <w:marBottom w:val="0"/>
          <w:divBdr>
            <w:top w:val="none" w:sz="0" w:space="0" w:color="auto"/>
            <w:left w:val="none" w:sz="0" w:space="0" w:color="auto"/>
            <w:bottom w:val="none" w:sz="0" w:space="0" w:color="auto"/>
            <w:right w:val="none" w:sz="0" w:space="0" w:color="auto"/>
          </w:divBdr>
        </w:div>
        <w:div w:id="690568360">
          <w:marLeft w:val="0"/>
          <w:marRight w:val="0"/>
          <w:marTop w:val="0"/>
          <w:marBottom w:val="0"/>
          <w:divBdr>
            <w:top w:val="none" w:sz="0" w:space="0" w:color="auto"/>
            <w:left w:val="none" w:sz="0" w:space="0" w:color="auto"/>
            <w:bottom w:val="none" w:sz="0" w:space="0" w:color="auto"/>
            <w:right w:val="none" w:sz="0" w:space="0" w:color="auto"/>
          </w:divBdr>
        </w:div>
        <w:div w:id="696273425">
          <w:marLeft w:val="0"/>
          <w:marRight w:val="0"/>
          <w:marTop w:val="0"/>
          <w:marBottom w:val="0"/>
          <w:divBdr>
            <w:top w:val="none" w:sz="0" w:space="0" w:color="auto"/>
            <w:left w:val="none" w:sz="0" w:space="0" w:color="auto"/>
            <w:bottom w:val="none" w:sz="0" w:space="0" w:color="auto"/>
            <w:right w:val="none" w:sz="0" w:space="0" w:color="auto"/>
          </w:divBdr>
        </w:div>
        <w:div w:id="705102450">
          <w:marLeft w:val="0"/>
          <w:marRight w:val="0"/>
          <w:marTop w:val="0"/>
          <w:marBottom w:val="0"/>
          <w:divBdr>
            <w:top w:val="none" w:sz="0" w:space="0" w:color="auto"/>
            <w:left w:val="none" w:sz="0" w:space="0" w:color="auto"/>
            <w:bottom w:val="none" w:sz="0" w:space="0" w:color="auto"/>
            <w:right w:val="none" w:sz="0" w:space="0" w:color="auto"/>
          </w:divBdr>
        </w:div>
        <w:div w:id="717899746">
          <w:marLeft w:val="0"/>
          <w:marRight w:val="0"/>
          <w:marTop w:val="0"/>
          <w:marBottom w:val="0"/>
          <w:divBdr>
            <w:top w:val="none" w:sz="0" w:space="0" w:color="auto"/>
            <w:left w:val="none" w:sz="0" w:space="0" w:color="auto"/>
            <w:bottom w:val="none" w:sz="0" w:space="0" w:color="auto"/>
            <w:right w:val="none" w:sz="0" w:space="0" w:color="auto"/>
          </w:divBdr>
        </w:div>
        <w:div w:id="727917874">
          <w:marLeft w:val="0"/>
          <w:marRight w:val="0"/>
          <w:marTop w:val="0"/>
          <w:marBottom w:val="0"/>
          <w:divBdr>
            <w:top w:val="none" w:sz="0" w:space="0" w:color="auto"/>
            <w:left w:val="none" w:sz="0" w:space="0" w:color="auto"/>
            <w:bottom w:val="none" w:sz="0" w:space="0" w:color="auto"/>
            <w:right w:val="none" w:sz="0" w:space="0" w:color="auto"/>
          </w:divBdr>
        </w:div>
        <w:div w:id="751240383">
          <w:marLeft w:val="0"/>
          <w:marRight w:val="0"/>
          <w:marTop w:val="0"/>
          <w:marBottom w:val="0"/>
          <w:divBdr>
            <w:top w:val="none" w:sz="0" w:space="0" w:color="auto"/>
            <w:left w:val="none" w:sz="0" w:space="0" w:color="auto"/>
            <w:bottom w:val="none" w:sz="0" w:space="0" w:color="auto"/>
            <w:right w:val="none" w:sz="0" w:space="0" w:color="auto"/>
          </w:divBdr>
        </w:div>
        <w:div w:id="779253916">
          <w:marLeft w:val="0"/>
          <w:marRight w:val="0"/>
          <w:marTop w:val="0"/>
          <w:marBottom w:val="0"/>
          <w:divBdr>
            <w:top w:val="none" w:sz="0" w:space="0" w:color="auto"/>
            <w:left w:val="none" w:sz="0" w:space="0" w:color="auto"/>
            <w:bottom w:val="none" w:sz="0" w:space="0" w:color="auto"/>
            <w:right w:val="none" w:sz="0" w:space="0" w:color="auto"/>
          </w:divBdr>
        </w:div>
        <w:div w:id="790172493">
          <w:marLeft w:val="0"/>
          <w:marRight w:val="0"/>
          <w:marTop w:val="0"/>
          <w:marBottom w:val="0"/>
          <w:divBdr>
            <w:top w:val="none" w:sz="0" w:space="0" w:color="auto"/>
            <w:left w:val="none" w:sz="0" w:space="0" w:color="auto"/>
            <w:bottom w:val="none" w:sz="0" w:space="0" w:color="auto"/>
            <w:right w:val="none" w:sz="0" w:space="0" w:color="auto"/>
          </w:divBdr>
        </w:div>
        <w:div w:id="864905438">
          <w:marLeft w:val="0"/>
          <w:marRight w:val="0"/>
          <w:marTop w:val="0"/>
          <w:marBottom w:val="0"/>
          <w:divBdr>
            <w:top w:val="none" w:sz="0" w:space="0" w:color="auto"/>
            <w:left w:val="none" w:sz="0" w:space="0" w:color="auto"/>
            <w:bottom w:val="none" w:sz="0" w:space="0" w:color="auto"/>
            <w:right w:val="none" w:sz="0" w:space="0" w:color="auto"/>
          </w:divBdr>
        </w:div>
        <w:div w:id="868566530">
          <w:marLeft w:val="0"/>
          <w:marRight w:val="0"/>
          <w:marTop w:val="0"/>
          <w:marBottom w:val="0"/>
          <w:divBdr>
            <w:top w:val="none" w:sz="0" w:space="0" w:color="auto"/>
            <w:left w:val="none" w:sz="0" w:space="0" w:color="auto"/>
            <w:bottom w:val="none" w:sz="0" w:space="0" w:color="auto"/>
            <w:right w:val="none" w:sz="0" w:space="0" w:color="auto"/>
          </w:divBdr>
        </w:div>
        <w:div w:id="894320082">
          <w:marLeft w:val="0"/>
          <w:marRight w:val="0"/>
          <w:marTop w:val="0"/>
          <w:marBottom w:val="0"/>
          <w:divBdr>
            <w:top w:val="none" w:sz="0" w:space="0" w:color="auto"/>
            <w:left w:val="none" w:sz="0" w:space="0" w:color="auto"/>
            <w:bottom w:val="none" w:sz="0" w:space="0" w:color="auto"/>
            <w:right w:val="none" w:sz="0" w:space="0" w:color="auto"/>
          </w:divBdr>
        </w:div>
        <w:div w:id="949506365">
          <w:marLeft w:val="0"/>
          <w:marRight w:val="0"/>
          <w:marTop w:val="0"/>
          <w:marBottom w:val="0"/>
          <w:divBdr>
            <w:top w:val="none" w:sz="0" w:space="0" w:color="auto"/>
            <w:left w:val="none" w:sz="0" w:space="0" w:color="auto"/>
            <w:bottom w:val="none" w:sz="0" w:space="0" w:color="auto"/>
            <w:right w:val="none" w:sz="0" w:space="0" w:color="auto"/>
          </w:divBdr>
        </w:div>
        <w:div w:id="963075991">
          <w:marLeft w:val="0"/>
          <w:marRight w:val="0"/>
          <w:marTop w:val="0"/>
          <w:marBottom w:val="0"/>
          <w:divBdr>
            <w:top w:val="none" w:sz="0" w:space="0" w:color="auto"/>
            <w:left w:val="none" w:sz="0" w:space="0" w:color="auto"/>
            <w:bottom w:val="none" w:sz="0" w:space="0" w:color="auto"/>
            <w:right w:val="none" w:sz="0" w:space="0" w:color="auto"/>
          </w:divBdr>
        </w:div>
        <w:div w:id="1027020522">
          <w:marLeft w:val="0"/>
          <w:marRight w:val="0"/>
          <w:marTop w:val="0"/>
          <w:marBottom w:val="0"/>
          <w:divBdr>
            <w:top w:val="none" w:sz="0" w:space="0" w:color="auto"/>
            <w:left w:val="none" w:sz="0" w:space="0" w:color="auto"/>
            <w:bottom w:val="none" w:sz="0" w:space="0" w:color="auto"/>
            <w:right w:val="none" w:sz="0" w:space="0" w:color="auto"/>
          </w:divBdr>
        </w:div>
        <w:div w:id="1106922537">
          <w:marLeft w:val="0"/>
          <w:marRight w:val="0"/>
          <w:marTop w:val="0"/>
          <w:marBottom w:val="0"/>
          <w:divBdr>
            <w:top w:val="none" w:sz="0" w:space="0" w:color="auto"/>
            <w:left w:val="none" w:sz="0" w:space="0" w:color="auto"/>
            <w:bottom w:val="none" w:sz="0" w:space="0" w:color="auto"/>
            <w:right w:val="none" w:sz="0" w:space="0" w:color="auto"/>
          </w:divBdr>
        </w:div>
        <w:div w:id="1123689245">
          <w:marLeft w:val="0"/>
          <w:marRight w:val="0"/>
          <w:marTop w:val="0"/>
          <w:marBottom w:val="0"/>
          <w:divBdr>
            <w:top w:val="none" w:sz="0" w:space="0" w:color="auto"/>
            <w:left w:val="none" w:sz="0" w:space="0" w:color="auto"/>
            <w:bottom w:val="none" w:sz="0" w:space="0" w:color="auto"/>
            <w:right w:val="none" w:sz="0" w:space="0" w:color="auto"/>
          </w:divBdr>
        </w:div>
        <w:div w:id="1193766710">
          <w:marLeft w:val="0"/>
          <w:marRight w:val="0"/>
          <w:marTop w:val="0"/>
          <w:marBottom w:val="0"/>
          <w:divBdr>
            <w:top w:val="none" w:sz="0" w:space="0" w:color="auto"/>
            <w:left w:val="none" w:sz="0" w:space="0" w:color="auto"/>
            <w:bottom w:val="none" w:sz="0" w:space="0" w:color="auto"/>
            <w:right w:val="none" w:sz="0" w:space="0" w:color="auto"/>
          </w:divBdr>
        </w:div>
        <w:div w:id="1220484299">
          <w:marLeft w:val="0"/>
          <w:marRight w:val="0"/>
          <w:marTop w:val="0"/>
          <w:marBottom w:val="0"/>
          <w:divBdr>
            <w:top w:val="none" w:sz="0" w:space="0" w:color="auto"/>
            <w:left w:val="none" w:sz="0" w:space="0" w:color="auto"/>
            <w:bottom w:val="none" w:sz="0" w:space="0" w:color="auto"/>
            <w:right w:val="none" w:sz="0" w:space="0" w:color="auto"/>
          </w:divBdr>
        </w:div>
        <w:div w:id="1227758779">
          <w:marLeft w:val="0"/>
          <w:marRight w:val="0"/>
          <w:marTop w:val="0"/>
          <w:marBottom w:val="0"/>
          <w:divBdr>
            <w:top w:val="none" w:sz="0" w:space="0" w:color="auto"/>
            <w:left w:val="none" w:sz="0" w:space="0" w:color="auto"/>
            <w:bottom w:val="none" w:sz="0" w:space="0" w:color="auto"/>
            <w:right w:val="none" w:sz="0" w:space="0" w:color="auto"/>
          </w:divBdr>
        </w:div>
        <w:div w:id="1243032159">
          <w:marLeft w:val="0"/>
          <w:marRight w:val="0"/>
          <w:marTop w:val="0"/>
          <w:marBottom w:val="0"/>
          <w:divBdr>
            <w:top w:val="none" w:sz="0" w:space="0" w:color="auto"/>
            <w:left w:val="none" w:sz="0" w:space="0" w:color="auto"/>
            <w:bottom w:val="none" w:sz="0" w:space="0" w:color="auto"/>
            <w:right w:val="none" w:sz="0" w:space="0" w:color="auto"/>
          </w:divBdr>
        </w:div>
        <w:div w:id="1339117751">
          <w:marLeft w:val="0"/>
          <w:marRight w:val="0"/>
          <w:marTop w:val="0"/>
          <w:marBottom w:val="0"/>
          <w:divBdr>
            <w:top w:val="none" w:sz="0" w:space="0" w:color="auto"/>
            <w:left w:val="none" w:sz="0" w:space="0" w:color="auto"/>
            <w:bottom w:val="none" w:sz="0" w:space="0" w:color="auto"/>
            <w:right w:val="none" w:sz="0" w:space="0" w:color="auto"/>
          </w:divBdr>
        </w:div>
        <w:div w:id="1429815365">
          <w:marLeft w:val="0"/>
          <w:marRight w:val="0"/>
          <w:marTop w:val="0"/>
          <w:marBottom w:val="0"/>
          <w:divBdr>
            <w:top w:val="none" w:sz="0" w:space="0" w:color="auto"/>
            <w:left w:val="none" w:sz="0" w:space="0" w:color="auto"/>
            <w:bottom w:val="none" w:sz="0" w:space="0" w:color="auto"/>
            <w:right w:val="none" w:sz="0" w:space="0" w:color="auto"/>
          </w:divBdr>
        </w:div>
        <w:div w:id="1630358321">
          <w:marLeft w:val="0"/>
          <w:marRight w:val="0"/>
          <w:marTop w:val="0"/>
          <w:marBottom w:val="0"/>
          <w:divBdr>
            <w:top w:val="none" w:sz="0" w:space="0" w:color="auto"/>
            <w:left w:val="none" w:sz="0" w:space="0" w:color="auto"/>
            <w:bottom w:val="none" w:sz="0" w:space="0" w:color="auto"/>
            <w:right w:val="none" w:sz="0" w:space="0" w:color="auto"/>
          </w:divBdr>
        </w:div>
        <w:div w:id="1722553876">
          <w:marLeft w:val="0"/>
          <w:marRight w:val="0"/>
          <w:marTop w:val="0"/>
          <w:marBottom w:val="0"/>
          <w:divBdr>
            <w:top w:val="none" w:sz="0" w:space="0" w:color="auto"/>
            <w:left w:val="none" w:sz="0" w:space="0" w:color="auto"/>
            <w:bottom w:val="none" w:sz="0" w:space="0" w:color="auto"/>
            <w:right w:val="none" w:sz="0" w:space="0" w:color="auto"/>
          </w:divBdr>
        </w:div>
        <w:div w:id="1782676617">
          <w:marLeft w:val="0"/>
          <w:marRight w:val="0"/>
          <w:marTop w:val="0"/>
          <w:marBottom w:val="0"/>
          <w:divBdr>
            <w:top w:val="none" w:sz="0" w:space="0" w:color="auto"/>
            <w:left w:val="none" w:sz="0" w:space="0" w:color="auto"/>
            <w:bottom w:val="none" w:sz="0" w:space="0" w:color="auto"/>
            <w:right w:val="none" w:sz="0" w:space="0" w:color="auto"/>
          </w:divBdr>
        </w:div>
        <w:div w:id="1989750648">
          <w:marLeft w:val="0"/>
          <w:marRight w:val="0"/>
          <w:marTop w:val="0"/>
          <w:marBottom w:val="0"/>
          <w:divBdr>
            <w:top w:val="none" w:sz="0" w:space="0" w:color="auto"/>
            <w:left w:val="none" w:sz="0" w:space="0" w:color="auto"/>
            <w:bottom w:val="none" w:sz="0" w:space="0" w:color="auto"/>
            <w:right w:val="none" w:sz="0" w:space="0" w:color="auto"/>
          </w:divBdr>
        </w:div>
        <w:div w:id="2011323686">
          <w:marLeft w:val="0"/>
          <w:marRight w:val="0"/>
          <w:marTop w:val="0"/>
          <w:marBottom w:val="0"/>
          <w:divBdr>
            <w:top w:val="none" w:sz="0" w:space="0" w:color="auto"/>
            <w:left w:val="none" w:sz="0" w:space="0" w:color="auto"/>
            <w:bottom w:val="none" w:sz="0" w:space="0" w:color="auto"/>
            <w:right w:val="none" w:sz="0" w:space="0" w:color="auto"/>
          </w:divBdr>
        </w:div>
        <w:div w:id="2015104915">
          <w:marLeft w:val="0"/>
          <w:marRight w:val="0"/>
          <w:marTop w:val="0"/>
          <w:marBottom w:val="0"/>
          <w:divBdr>
            <w:top w:val="none" w:sz="0" w:space="0" w:color="auto"/>
            <w:left w:val="none" w:sz="0" w:space="0" w:color="auto"/>
            <w:bottom w:val="none" w:sz="0" w:space="0" w:color="auto"/>
            <w:right w:val="none" w:sz="0" w:space="0" w:color="auto"/>
          </w:divBdr>
        </w:div>
        <w:div w:id="2046564465">
          <w:marLeft w:val="0"/>
          <w:marRight w:val="0"/>
          <w:marTop w:val="0"/>
          <w:marBottom w:val="0"/>
          <w:divBdr>
            <w:top w:val="none" w:sz="0" w:space="0" w:color="auto"/>
            <w:left w:val="none" w:sz="0" w:space="0" w:color="auto"/>
            <w:bottom w:val="none" w:sz="0" w:space="0" w:color="auto"/>
            <w:right w:val="none" w:sz="0" w:space="0" w:color="auto"/>
          </w:divBdr>
        </w:div>
      </w:divsChild>
    </w:div>
    <w:div w:id="654187126">
      <w:bodyDiv w:val="1"/>
      <w:marLeft w:val="0"/>
      <w:marRight w:val="0"/>
      <w:marTop w:val="0"/>
      <w:marBottom w:val="0"/>
      <w:divBdr>
        <w:top w:val="none" w:sz="0" w:space="0" w:color="auto"/>
        <w:left w:val="none" w:sz="0" w:space="0" w:color="auto"/>
        <w:bottom w:val="none" w:sz="0" w:space="0" w:color="auto"/>
        <w:right w:val="none" w:sz="0" w:space="0" w:color="auto"/>
      </w:divBdr>
    </w:div>
    <w:div w:id="654261843">
      <w:bodyDiv w:val="1"/>
      <w:marLeft w:val="0"/>
      <w:marRight w:val="0"/>
      <w:marTop w:val="0"/>
      <w:marBottom w:val="0"/>
      <w:divBdr>
        <w:top w:val="none" w:sz="0" w:space="0" w:color="auto"/>
        <w:left w:val="none" w:sz="0" w:space="0" w:color="auto"/>
        <w:bottom w:val="none" w:sz="0" w:space="0" w:color="auto"/>
        <w:right w:val="none" w:sz="0" w:space="0" w:color="auto"/>
      </w:divBdr>
      <w:divsChild>
        <w:div w:id="146362797">
          <w:marLeft w:val="0"/>
          <w:marRight w:val="0"/>
          <w:marTop w:val="0"/>
          <w:marBottom w:val="0"/>
          <w:divBdr>
            <w:top w:val="none" w:sz="0" w:space="0" w:color="auto"/>
            <w:left w:val="none" w:sz="0" w:space="0" w:color="auto"/>
            <w:bottom w:val="none" w:sz="0" w:space="0" w:color="auto"/>
            <w:right w:val="none" w:sz="0" w:space="0" w:color="auto"/>
          </w:divBdr>
        </w:div>
        <w:div w:id="154808866">
          <w:marLeft w:val="0"/>
          <w:marRight w:val="0"/>
          <w:marTop w:val="0"/>
          <w:marBottom w:val="0"/>
          <w:divBdr>
            <w:top w:val="none" w:sz="0" w:space="0" w:color="auto"/>
            <w:left w:val="none" w:sz="0" w:space="0" w:color="auto"/>
            <w:bottom w:val="none" w:sz="0" w:space="0" w:color="auto"/>
            <w:right w:val="none" w:sz="0" w:space="0" w:color="auto"/>
          </w:divBdr>
        </w:div>
        <w:div w:id="184683123">
          <w:marLeft w:val="0"/>
          <w:marRight w:val="0"/>
          <w:marTop w:val="0"/>
          <w:marBottom w:val="0"/>
          <w:divBdr>
            <w:top w:val="none" w:sz="0" w:space="0" w:color="auto"/>
            <w:left w:val="none" w:sz="0" w:space="0" w:color="auto"/>
            <w:bottom w:val="none" w:sz="0" w:space="0" w:color="auto"/>
            <w:right w:val="none" w:sz="0" w:space="0" w:color="auto"/>
          </w:divBdr>
        </w:div>
        <w:div w:id="241990695">
          <w:marLeft w:val="0"/>
          <w:marRight w:val="0"/>
          <w:marTop w:val="0"/>
          <w:marBottom w:val="0"/>
          <w:divBdr>
            <w:top w:val="none" w:sz="0" w:space="0" w:color="auto"/>
            <w:left w:val="none" w:sz="0" w:space="0" w:color="auto"/>
            <w:bottom w:val="none" w:sz="0" w:space="0" w:color="auto"/>
            <w:right w:val="none" w:sz="0" w:space="0" w:color="auto"/>
          </w:divBdr>
        </w:div>
        <w:div w:id="489565778">
          <w:marLeft w:val="0"/>
          <w:marRight w:val="0"/>
          <w:marTop w:val="0"/>
          <w:marBottom w:val="0"/>
          <w:divBdr>
            <w:top w:val="none" w:sz="0" w:space="0" w:color="auto"/>
            <w:left w:val="none" w:sz="0" w:space="0" w:color="auto"/>
            <w:bottom w:val="none" w:sz="0" w:space="0" w:color="auto"/>
            <w:right w:val="none" w:sz="0" w:space="0" w:color="auto"/>
          </w:divBdr>
        </w:div>
        <w:div w:id="538251097">
          <w:marLeft w:val="0"/>
          <w:marRight w:val="0"/>
          <w:marTop w:val="0"/>
          <w:marBottom w:val="0"/>
          <w:divBdr>
            <w:top w:val="none" w:sz="0" w:space="0" w:color="auto"/>
            <w:left w:val="none" w:sz="0" w:space="0" w:color="auto"/>
            <w:bottom w:val="none" w:sz="0" w:space="0" w:color="auto"/>
            <w:right w:val="none" w:sz="0" w:space="0" w:color="auto"/>
          </w:divBdr>
        </w:div>
        <w:div w:id="580987252">
          <w:marLeft w:val="0"/>
          <w:marRight w:val="0"/>
          <w:marTop w:val="0"/>
          <w:marBottom w:val="0"/>
          <w:divBdr>
            <w:top w:val="none" w:sz="0" w:space="0" w:color="auto"/>
            <w:left w:val="none" w:sz="0" w:space="0" w:color="auto"/>
            <w:bottom w:val="none" w:sz="0" w:space="0" w:color="auto"/>
            <w:right w:val="none" w:sz="0" w:space="0" w:color="auto"/>
          </w:divBdr>
        </w:div>
        <w:div w:id="645359388">
          <w:marLeft w:val="0"/>
          <w:marRight w:val="0"/>
          <w:marTop w:val="0"/>
          <w:marBottom w:val="0"/>
          <w:divBdr>
            <w:top w:val="none" w:sz="0" w:space="0" w:color="auto"/>
            <w:left w:val="none" w:sz="0" w:space="0" w:color="auto"/>
            <w:bottom w:val="none" w:sz="0" w:space="0" w:color="auto"/>
            <w:right w:val="none" w:sz="0" w:space="0" w:color="auto"/>
          </w:divBdr>
        </w:div>
        <w:div w:id="835805741">
          <w:marLeft w:val="0"/>
          <w:marRight w:val="0"/>
          <w:marTop w:val="0"/>
          <w:marBottom w:val="0"/>
          <w:divBdr>
            <w:top w:val="none" w:sz="0" w:space="0" w:color="auto"/>
            <w:left w:val="none" w:sz="0" w:space="0" w:color="auto"/>
            <w:bottom w:val="none" w:sz="0" w:space="0" w:color="auto"/>
            <w:right w:val="none" w:sz="0" w:space="0" w:color="auto"/>
          </w:divBdr>
        </w:div>
        <w:div w:id="941911929">
          <w:marLeft w:val="0"/>
          <w:marRight w:val="0"/>
          <w:marTop w:val="0"/>
          <w:marBottom w:val="0"/>
          <w:divBdr>
            <w:top w:val="none" w:sz="0" w:space="0" w:color="auto"/>
            <w:left w:val="none" w:sz="0" w:space="0" w:color="auto"/>
            <w:bottom w:val="none" w:sz="0" w:space="0" w:color="auto"/>
            <w:right w:val="none" w:sz="0" w:space="0" w:color="auto"/>
          </w:divBdr>
        </w:div>
        <w:div w:id="1014380342">
          <w:marLeft w:val="0"/>
          <w:marRight w:val="0"/>
          <w:marTop w:val="0"/>
          <w:marBottom w:val="0"/>
          <w:divBdr>
            <w:top w:val="none" w:sz="0" w:space="0" w:color="auto"/>
            <w:left w:val="none" w:sz="0" w:space="0" w:color="auto"/>
            <w:bottom w:val="none" w:sz="0" w:space="0" w:color="auto"/>
            <w:right w:val="none" w:sz="0" w:space="0" w:color="auto"/>
          </w:divBdr>
        </w:div>
        <w:div w:id="1225605339">
          <w:marLeft w:val="0"/>
          <w:marRight w:val="0"/>
          <w:marTop w:val="0"/>
          <w:marBottom w:val="0"/>
          <w:divBdr>
            <w:top w:val="none" w:sz="0" w:space="0" w:color="auto"/>
            <w:left w:val="none" w:sz="0" w:space="0" w:color="auto"/>
            <w:bottom w:val="none" w:sz="0" w:space="0" w:color="auto"/>
            <w:right w:val="none" w:sz="0" w:space="0" w:color="auto"/>
          </w:divBdr>
        </w:div>
        <w:div w:id="1389374355">
          <w:marLeft w:val="0"/>
          <w:marRight w:val="0"/>
          <w:marTop w:val="0"/>
          <w:marBottom w:val="0"/>
          <w:divBdr>
            <w:top w:val="none" w:sz="0" w:space="0" w:color="auto"/>
            <w:left w:val="none" w:sz="0" w:space="0" w:color="auto"/>
            <w:bottom w:val="none" w:sz="0" w:space="0" w:color="auto"/>
            <w:right w:val="none" w:sz="0" w:space="0" w:color="auto"/>
          </w:divBdr>
        </w:div>
        <w:div w:id="1456558214">
          <w:marLeft w:val="0"/>
          <w:marRight w:val="0"/>
          <w:marTop w:val="0"/>
          <w:marBottom w:val="0"/>
          <w:divBdr>
            <w:top w:val="none" w:sz="0" w:space="0" w:color="auto"/>
            <w:left w:val="none" w:sz="0" w:space="0" w:color="auto"/>
            <w:bottom w:val="none" w:sz="0" w:space="0" w:color="auto"/>
            <w:right w:val="none" w:sz="0" w:space="0" w:color="auto"/>
          </w:divBdr>
        </w:div>
        <w:div w:id="1461537674">
          <w:marLeft w:val="0"/>
          <w:marRight w:val="0"/>
          <w:marTop w:val="0"/>
          <w:marBottom w:val="0"/>
          <w:divBdr>
            <w:top w:val="none" w:sz="0" w:space="0" w:color="auto"/>
            <w:left w:val="none" w:sz="0" w:space="0" w:color="auto"/>
            <w:bottom w:val="none" w:sz="0" w:space="0" w:color="auto"/>
            <w:right w:val="none" w:sz="0" w:space="0" w:color="auto"/>
          </w:divBdr>
        </w:div>
        <w:div w:id="1531409586">
          <w:marLeft w:val="0"/>
          <w:marRight w:val="0"/>
          <w:marTop w:val="0"/>
          <w:marBottom w:val="0"/>
          <w:divBdr>
            <w:top w:val="none" w:sz="0" w:space="0" w:color="auto"/>
            <w:left w:val="none" w:sz="0" w:space="0" w:color="auto"/>
            <w:bottom w:val="none" w:sz="0" w:space="0" w:color="auto"/>
            <w:right w:val="none" w:sz="0" w:space="0" w:color="auto"/>
          </w:divBdr>
        </w:div>
        <w:div w:id="1611546048">
          <w:marLeft w:val="0"/>
          <w:marRight w:val="0"/>
          <w:marTop w:val="0"/>
          <w:marBottom w:val="0"/>
          <w:divBdr>
            <w:top w:val="none" w:sz="0" w:space="0" w:color="auto"/>
            <w:left w:val="none" w:sz="0" w:space="0" w:color="auto"/>
            <w:bottom w:val="none" w:sz="0" w:space="0" w:color="auto"/>
            <w:right w:val="none" w:sz="0" w:space="0" w:color="auto"/>
          </w:divBdr>
        </w:div>
        <w:div w:id="1671328470">
          <w:marLeft w:val="0"/>
          <w:marRight w:val="0"/>
          <w:marTop w:val="0"/>
          <w:marBottom w:val="0"/>
          <w:divBdr>
            <w:top w:val="none" w:sz="0" w:space="0" w:color="auto"/>
            <w:left w:val="none" w:sz="0" w:space="0" w:color="auto"/>
            <w:bottom w:val="none" w:sz="0" w:space="0" w:color="auto"/>
            <w:right w:val="none" w:sz="0" w:space="0" w:color="auto"/>
          </w:divBdr>
        </w:div>
        <w:div w:id="1711613238">
          <w:marLeft w:val="0"/>
          <w:marRight w:val="0"/>
          <w:marTop w:val="0"/>
          <w:marBottom w:val="0"/>
          <w:divBdr>
            <w:top w:val="none" w:sz="0" w:space="0" w:color="auto"/>
            <w:left w:val="none" w:sz="0" w:space="0" w:color="auto"/>
            <w:bottom w:val="none" w:sz="0" w:space="0" w:color="auto"/>
            <w:right w:val="none" w:sz="0" w:space="0" w:color="auto"/>
          </w:divBdr>
        </w:div>
        <w:div w:id="1982422565">
          <w:marLeft w:val="0"/>
          <w:marRight w:val="0"/>
          <w:marTop w:val="0"/>
          <w:marBottom w:val="0"/>
          <w:divBdr>
            <w:top w:val="none" w:sz="0" w:space="0" w:color="auto"/>
            <w:left w:val="none" w:sz="0" w:space="0" w:color="auto"/>
            <w:bottom w:val="none" w:sz="0" w:space="0" w:color="auto"/>
            <w:right w:val="none" w:sz="0" w:space="0" w:color="auto"/>
          </w:divBdr>
        </w:div>
        <w:div w:id="2136487238">
          <w:marLeft w:val="0"/>
          <w:marRight w:val="0"/>
          <w:marTop w:val="0"/>
          <w:marBottom w:val="0"/>
          <w:divBdr>
            <w:top w:val="none" w:sz="0" w:space="0" w:color="auto"/>
            <w:left w:val="none" w:sz="0" w:space="0" w:color="auto"/>
            <w:bottom w:val="none" w:sz="0" w:space="0" w:color="auto"/>
            <w:right w:val="none" w:sz="0" w:space="0" w:color="auto"/>
          </w:divBdr>
        </w:div>
      </w:divsChild>
    </w:div>
    <w:div w:id="656031694">
      <w:bodyDiv w:val="1"/>
      <w:marLeft w:val="0"/>
      <w:marRight w:val="0"/>
      <w:marTop w:val="0"/>
      <w:marBottom w:val="0"/>
      <w:divBdr>
        <w:top w:val="none" w:sz="0" w:space="0" w:color="auto"/>
        <w:left w:val="none" w:sz="0" w:space="0" w:color="auto"/>
        <w:bottom w:val="none" w:sz="0" w:space="0" w:color="auto"/>
        <w:right w:val="none" w:sz="0" w:space="0" w:color="auto"/>
      </w:divBdr>
      <w:divsChild>
        <w:div w:id="111822200">
          <w:marLeft w:val="0"/>
          <w:marRight w:val="0"/>
          <w:marTop w:val="0"/>
          <w:marBottom w:val="0"/>
          <w:divBdr>
            <w:top w:val="none" w:sz="0" w:space="0" w:color="auto"/>
            <w:left w:val="none" w:sz="0" w:space="0" w:color="auto"/>
            <w:bottom w:val="none" w:sz="0" w:space="0" w:color="auto"/>
            <w:right w:val="none" w:sz="0" w:space="0" w:color="auto"/>
          </w:divBdr>
        </w:div>
        <w:div w:id="378208486">
          <w:marLeft w:val="0"/>
          <w:marRight w:val="0"/>
          <w:marTop w:val="0"/>
          <w:marBottom w:val="0"/>
          <w:divBdr>
            <w:top w:val="none" w:sz="0" w:space="0" w:color="auto"/>
            <w:left w:val="none" w:sz="0" w:space="0" w:color="auto"/>
            <w:bottom w:val="none" w:sz="0" w:space="0" w:color="auto"/>
            <w:right w:val="none" w:sz="0" w:space="0" w:color="auto"/>
          </w:divBdr>
        </w:div>
      </w:divsChild>
    </w:div>
    <w:div w:id="662196904">
      <w:bodyDiv w:val="1"/>
      <w:marLeft w:val="0"/>
      <w:marRight w:val="0"/>
      <w:marTop w:val="0"/>
      <w:marBottom w:val="0"/>
      <w:divBdr>
        <w:top w:val="none" w:sz="0" w:space="0" w:color="auto"/>
        <w:left w:val="none" w:sz="0" w:space="0" w:color="auto"/>
        <w:bottom w:val="none" w:sz="0" w:space="0" w:color="auto"/>
        <w:right w:val="none" w:sz="0" w:space="0" w:color="auto"/>
      </w:divBdr>
    </w:div>
    <w:div w:id="677075037">
      <w:bodyDiv w:val="1"/>
      <w:marLeft w:val="0"/>
      <w:marRight w:val="0"/>
      <w:marTop w:val="0"/>
      <w:marBottom w:val="0"/>
      <w:divBdr>
        <w:top w:val="none" w:sz="0" w:space="0" w:color="auto"/>
        <w:left w:val="none" w:sz="0" w:space="0" w:color="auto"/>
        <w:bottom w:val="none" w:sz="0" w:space="0" w:color="auto"/>
        <w:right w:val="none" w:sz="0" w:space="0" w:color="auto"/>
      </w:divBdr>
      <w:divsChild>
        <w:div w:id="46033350">
          <w:marLeft w:val="274"/>
          <w:marRight w:val="0"/>
          <w:marTop w:val="0"/>
          <w:marBottom w:val="0"/>
          <w:divBdr>
            <w:top w:val="none" w:sz="0" w:space="0" w:color="auto"/>
            <w:left w:val="none" w:sz="0" w:space="0" w:color="auto"/>
            <w:bottom w:val="none" w:sz="0" w:space="0" w:color="auto"/>
            <w:right w:val="none" w:sz="0" w:space="0" w:color="auto"/>
          </w:divBdr>
        </w:div>
        <w:div w:id="757562738">
          <w:marLeft w:val="274"/>
          <w:marRight w:val="0"/>
          <w:marTop w:val="0"/>
          <w:marBottom w:val="0"/>
          <w:divBdr>
            <w:top w:val="none" w:sz="0" w:space="0" w:color="auto"/>
            <w:left w:val="none" w:sz="0" w:space="0" w:color="auto"/>
            <w:bottom w:val="none" w:sz="0" w:space="0" w:color="auto"/>
            <w:right w:val="none" w:sz="0" w:space="0" w:color="auto"/>
          </w:divBdr>
        </w:div>
        <w:div w:id="1248805337">
          <w:marLeft w:val="274"/>
          <w:marRight w:val="0"/>
          <w:marTop w:val="0"/>
          <w:marBottom w:val="0"/>
          <w:divBdr>
            <w:top w:val="none" w:sz="0" w:space="0" w:color="auto"/>
            <w:left w:val="none" w:sz="0" w:space="0" w:color="auto"/>
            <w:bottom w:val="none" w:sz="0" w:space="0" w:color="auto"/>
            <w:right w:val="none" w:sz="0" w:space="0" w:color="auto"/>
          </w:divBdr>
        </w:div>
        <w:div w:id="1348410891">
          <w:marLeft w:val="274"/>
          <w:marRight w:val="0"/>
          <w:marTop w:val="0"/>
          <w:marBottom w:val="0"/>
          <w:divBdr>
            <w:top w:val="none" w:sz="0" w:space="0" w:color="auto"/>
            <w:left w:val="none" w:sz="0" w:space="0" w:color="auto"/>
            <w:bottom w:val="none" w:sz="0" w:space="0" w:color="auto"/>
            <w:right w:val="none" w:sz="0" w:space="0" w:color="auto"/>
          </w:divBdr>
        </w:div>
        <w:div w:id="1379549760">
          <w:marLeft w:val="274"/>
          <w:marRight w:val="0"/>
          <w:marTop w:val="0"/>
          <w:marBottom w:val="0"/>
          <w:divBdr>
            <w:top w:val="none" w:sz="0" w:space="0" w:color="auto"/>
            <w:left w:val="none" w:sz="0" w:space="0" w:color="auto"/>
            <w:bottom w:val="none" w:sz="0" w:space="0" w:color="auto"/>
            <w:right w:val="none" w:sz="0" w:space="0" w:color="auto"/>
          </w:divBdr>
        </w:div>
        <w:div w:id="1619681725">
          <w:marLeft w:val="274"/>
          <w:marRight w:val="0"/>
          <w:marTop w:val="0"/>
          <w:marBottom w:val="0"/>
          <w:divBdr>
            <w:top w:val="none" w:sz="0" w:space="0" w:color="auto"/>
            <w:left w:val="none" w:sz="0" w:space="0" w:color="auto"/>
            <w:bottom w:val="none" w:sz="0" w:space="0" w:color="auto"/>
            <w:right w:val="none" w:sz="0" w:space="0" w:color="auto"/>
          </w:divBdr>
        </w:div>
      </w:divsChild>
    </w:div>
    <w:div w:id="679433887">
      <w:bodyDiv w:val="1"/>
      <w:marLeft w:val="0"/>
      <w:marRight w:val="0"/>
      <w:marTop w:val="0"/>
      <w:marBottom w:val="0"/>
      <w:divBdr>
        <w:top w:val="none" w:sz="0" w:space="0" w:color="auto"/>
        <w:left w:val="none" w:sz="0" w:space="0" w:color="auto"/>
        <w:bottom w:val="none" w:sz="0" w:space="0" w:color="auto"/>
        <w:right w:val="none" w:sz="0" w:space="0" w:color="auto"/>
      </w:divBdr>
      <w:divsChild>
        <w:div w:id="245456113">
          <w:marLeft w:val="0"/>
          <w:marRight w:val="0"/>
          <w:marTop w:val="0"/>
          <w:marBottom w:val="0"/>
          <w:divBdr>
            <w:top w:val="none" w:sz="0" w:space="0" w:color="auto"/>
            <w:left w:val="none" w:sz="0" w:space="0" w:color="auto"/>
            <w:bottom w:val="none" w:sz="0" w:space="0" w:color="auto"/>
            <w:right w:val="none" w:sz="0" w:space="0" w:color="auto"/>
          </w:divBdr>
        </w:div>
      </w:divsChild>
    </w:div>
    <w:div w:id="679771992">
      <w:bodyDiv w:val="1"/>
      <w:marLeft w:val="0"/>
      <w:marRight w:val="0"/>
      <w:marTop w:val="0"/>
      <w:marBottom w:val="0"/>
      <w:divBdr>
        <w:top w:val="none" w:sz="0" w:space="0" w:color="auto"/>
        <w:left w:val="none" w:sz="0" w:space="0" w:color="auto"/>
        <w:bottom w:val="none" w:sz="0" w:space="0" w:color="auto"/>
        <w:right w:val="none" w:sz="0" w:space="0" w:color="auto"/>
      </w:divBdr>
    </w:div>
    <w:div w:id="683170124">
      <w:bodyDiv w:val="1"/>
      <w:marLeft w:val="0"/>
      <w:marRight w:val="0"/>
      <w:marTop w:val="0"/>
      <w:marBottom w:val="0"/>
      <w:divBdr>
        <w:top w:val="none" w:sz="0" w:space="0" w:color="auto"/>
        <w:left w:val="none" w:sz="0" w:space="0" w:color="auto"/>
        <w:bottom w:val="none" w:sz="0" w:space="0" w:color="auto"/>
        <w:right w:val="none" w:sz="0" w:space="0" w:color="auto"/>
      </w:divBdr>
      <w:divsChild>
        <w:div w:id="1939480373">
          <w:marLeft w:val="0"/>
          <w:marRight w:val="0"/>
          <w:marTop w:val="210"/>
          <w:marBottom w:val="0"/>
          <w:divBdr>
            <w:top w:val="none" w:sz="0" w:space="0" w:color="auto"/>
            <w:left w:val="none" w:sz="0" w:space="0" w:color="auto"/>
            <w:bottom w:val="none" w:sz="0" w:space="0" w:color="auto"/>
            <w:right w:val="none" w:sz="0" w:space="0" w:color="auto"/>
          </w:divBdr>
        </w:div>
      </w:divsChild>
    </w:div>
    <w:div w:id="712576535">
      <w:bodyDiv w:val="1"/>
      <w:marLeft w:val="0"/>
      <w:marRight w:val="0"/>
      <w:marTop w:val="0"/>
      <w:marBottom w:val="0"/>
      <w:divBdr>
        <w:top w:val="none" w:sz="0" w:space="0" w:color="auto"/>
        <w:left w:val="none" w:sz="0" w:space="0" w:color="auto"/>
        <w:bottom w:val="none" w:sz="0" w:space="0" w:color="auto"/>
        <w:right w:val="none" w:sz="0" w:space="0" w:color="auto"/>
      </w:divBdr>
      <w:divsChild>
        <w:div w:id="136916787">
          <w:marLeft w:val="0"/>
          <w:marRight w:val="0"/>
          <w:marTop w:val="0"/>
          <w:marBottom w:val="0"/>
          <w:divBdr>
            <w:top w:val="none" w:sz="0" w:space="0" w:color="auto"/>
            <w:left w:val="none" w:sz="0" w:space="0" w:color="auto"/>
            <w:bottom w:val="none" w:sz="0" w:space="0" w:color="auto"/>
            <w:right w:val="none" w:sz="0" w:space="0" w:color="auto"/>
          </w:divBdr>
        </w:div>
        <w:div w:id="1381633806">
          <w:marLeft w:val="0"/>
          <w:marRight w:val="0"/>
          <w:marTop w:val="0"/>
          <w:marBottom w:val="0"/>
          <w:divBdr>
            <w:top w:val="none" w:sz="0" w:space="0" w:color="auto"/>
            <w:left w:val="none" w:sz="0" w:space="0" w:color="auto"/>
            <w:bottom w:val="none" w:sz="0" w:space="0" w:color="auto"/>
            <w:right w:val="none" w:sz="0" w:space="0" w:color="auto"/>
          </w:divBdr>
        </w:div>
        <w:div w:id="1538662711">
          <w:marLeft w:val="0"/>
          <w:marRight w:val="0"/>
          <w:marTop w:val="0"/>
          <w:marBottom w:val="0"/>
          <w:divBdr>
            <w:top w:val="none" w:sz="0" w:space="0" w:color="auto"/>
            <w:left w:val="none" w:sz="0" w:space="0" w:color="auto"/>
            <w:bottom w:val="none" w:sz="0" w:space="0" w:color="auto"/>
            <w:right w:val="none" w:sz="0" w:space="0" w:color="auto"/>
          </w:divBdr>
        </w:div>
      </w:divsChild>
    </w:div>
    <w:div w:id="722214318">
      <w:bodyDiv w:val="1"/>
      <w:marLeft w:val="0"/>
      <w:marRight w:val="0"/>
      <w:marTop w:val="0"/>
      <w:marBottom w:val="0"/>
      <w:divBdr>
        <w:top w:val="none" w:sz="0" w:space="0" w:color="auto"/>
        <w:left w:val="none" w:sz="0" w:space="0" w:color="auto"/>
        <w:bottom w:val="none" w:sz="0" w:space="0" w:color="auto"/>
        <w:right w:val="none" w:sz="0" w:space="0" w:color="auto"/>
      </w:divBdr>
      <w:divsChild>
        <w:div w:id="243490359">
          <w:marLeft w:val="274"/>
          <w:marRight w:val="0"/>
          <w:marTop w:val="0"/>
          <w:marBottom w:val="0"/>
          <w:divBdr>
            <w:top w:val="none" w:sz="0" w:space="0" w:color="auto"/>
            <w:left w:val="none" w:sz="0" w:space="0" w:color="auto"/>
            <w:bottom w:val="none" w:sz="0" w:space="0" w:color="auto"/>
            <w:right w:val="none" w:sz="0" w:space="0" w:color="auto"/>
          </w:divBdr>
        </w:div>
        <w:div w:id="1380475901">
          <w:marLeft w:val="274"/>
          <w:marRight w:val="0"/>
          <w:marTop w:val="0"/>
          <w:marBottom w:val="0"/>
          <w:divBdr>
            <w:top w:val="none" w:sz="0" w:space="0" w:color="auto"/>
            <w:left w:val="none" w:sz="0" w:space="0" w:color="auto"/>
            <w:bottom w:val="none" w:sz="0" w:space="0" w:color="auto"/>
            <w:right w:val="none" w:sz="0" w:space="0" w:color="auto"/>
          </w:divBdr>
        </w:div>
        <w:div w:id="1545866269">
          <w:marLeft w:val="274"/>
          <w:marRight w:val="0"/>
          <w:marTop w:val="0"/>
          <w:marBottom w:val="0"/>
          <w:divBdr>
            <w:top w:val="none" w:sz="0" w:space="0" w:color="auto"/>
            <w:left w:val="none" w:sz="0" w:space="0" w:color="auto"/>
            <w:bottom w:val="none" w:sz="0" w:space="0" w:color="auto"/>
            <w:right w:val="none" w:sz="0" w:space="0" w:color="auto"/>
          </w:divBdr>
        </w:div>
        <w:div w:id="2028024514">
          <w:marLeft w:val="274"/>
          <w:marRight w:val="0"/>
          <w:marTop w:val="0"/>
          <w:marBottom w:val="0"/>
          <w:divBdr>
            <w:top w:val="none" w:sz="0" w:space="0" w:color="auto"/>
            <w:left w:val="none" w:sz="0" w:space="0" w:color="auto"/>
            <w:bottom w:val="none" w:sz="0" w:space="0" w:color="auto"/>
            <w:right w:val="none" w:sz="0" w:space="0" w:color="auto"/>
          </w:divBdr>
        </w:div>
        <w:div w:id="2031104337">
          <w:marLeft w:val="274"/>
          <w:marRight w:val="0"/>
          <w:marTop w:val="0"/>
          <w:marBottom w:val="0"/>
          <w:divBdr>
            <w:top w:val="none" w:sz="0" w:space="0" w:color="auto"/>
            <w:left w:val="none" w:sz="0" w:space="0" w:color="auto"/>
            <w:bottom w:val="none" w:sz="0" w:space="0" w:color="auto"/>
            <w:right w:val="none" w:sz="0" w:space="0" w:color="auto"/>
          </w:divBdr>
        </w:div>
      </w:divsChild>
    </w:div>
    <w:div w:id="737480717">
      <w:bodyDiv w:val="1"/>
      <w:marLeft w:val="0"/>
      <w:marRight w:val="0"/>
      <w:marTop w:val="0"/>
      <w:marBottom w:val="0"/>
      <w:divBdr>
        <w:top w:val="none" w:sz="0" w:space="0" w:color="auto"/>
        <w:left w:val="none" w:sz="0" w:space="0" w:color="auto"/>
        <w:bottom w:val="none" w:sz="0" w:space="0" w:color="auto"/>
        <w:right w:val="none" w:sz="0" w:space="0" w:color="auto"/>
      </w:divBdr>
      <w:divsChild>
        <w:div w:id="87435970">
          <w:marLeft w:val="0"/>
          <w:marRight w:val="0"/>
          <w:marTop w:val="0"/>
          <w:marBottom w:val="0"/>
          <w:divBdr>
            <w:top w:val="none" w:sz="0" w:space="0" w:color="auto"/>
            <w:left w:val="none" w:sz="0" w:space="0" w:color="auto"/>
            <w:bottom w:val="none" w:sz="0" w:space="0" w:color="auto"/>
            <w:right w:val="none" w:sz="0" w:space="0" w:color="auto"/>
          </w:divBdr>
        </w:div>
        <w:div w:id="1762527450">
          <w:marLeft w:val="0"/>
          <w:marRight w:val="0"/>
          <w:marTop w:val="0"/>
          <w:marBottom w:val="0"/>
          <w:divBdr>
            <w:top w:val="none" w:sz="0" w:space="0" w:color="auto"/>
            <w:left w:val="none" w:sz="0" w:space="0" w:color="auto"/>
            <w:bottom w:val="none" w:sz="0" w:space="0" w:color="auto"/>
            <w:right w:val="none" w:sz="0" w:space="0" w:color="auto"/>
          </w:divBdr>
        </w:div>
      </w:divsChild>
    </w:div>
    <w:div w:id="746808327">
      <w:bodyDiv w:val="1"/>
      <w:marLeft w:val="0"/>
      <w:marRight w:val="0"/>
      <w:marTop w:val="0"/>
      <w:marBottom w:val="0"/>
      <w:divBdr>
        <w:top w:val="none" w:sz="0" w:space="0" w:color="auto"/>
        <w:left w:val="none" w:sz="0" w:space="0" w:color="auto"/>
        <w:bottom w:val="none" w:sz="0" w:space="0" w:color="auto"/>
        <w:right w:val="none" w:sz="0" w:space="0" w:color="auto"/>
      </w:divBdr>
    </w:div>
    <w:div w:id="825517922">
      <w:bodyDiv w:val="1"/>
      <w:marLeft w:val="0"/>
      <w:marRight w:val="0"/>
      <w:marTop w:val="0"/>
      <w:marBottom w:val="0"/>
      <w:divBdr>
        <w:top w:val="none" w:sz="0" w:space="0" w:color="auto"/>
        <w:left w:val="none" w:sz="0" w:space="0" w:color="auto"/>
        <w:bottom w:val="none" w:sz="0" w:space="0" w:color="auto"/>
        <w:right w:val="none" w:sz="0" w:space="0" w:color="auto"/>
      </w:divBdr>
    </w:div>
    <w:div w:id="845561934">
      <w:bodyDiv w:val="1"/>
      <w:marLeft w:val="0"/>
      <w:marRight w:val="0"/>
      <w:marTop w:val="0"/>
      <w:marBottom w:val="0"/>
      <w:divBdr>
        <w:top w:val="none" w:sz="0" w:space="0" w:color="auto"/>
        <w:left w:val="none" w:sz="0" w:space="0" w:color="auto"/>
        <w:bottom w:val="none" w:sz="0" w:space="0" w:color="auto"/>
        <w:right w:val="none" w:sz="0" w:space="0" w:color="auto"/>
      </w:divBdr>
      <w:divsChild>
        <w:div w:id="150950991">
          <w:marLeft w:val="0"/>
          <w:marRight w:val="0"/>
          <w:marTop w:val="0"/>
          <w:marBottom w:val="0"/>
          <w:divBdr>
            <w:top w:val="none" w:sz="0" w:space="0" w:color="auto"/>
            <w:left w:val="none" w:sz="0" w:space="0" w:color="auto"/>
            <w:bottom w:val="none" w:sz="0" w:space="0" w:color="auto"/>
            <w:right w:val="none" w:sz="0" w:space="0" w:color="auto"/>
          </w:divBdr>
        </w:div>
        <w:div w:id="328604786">
          <w:marLeft w:val="0"/>
          <w:marRight w:val="0"/>
          <w:marTop w:val="0"/>
          <w:marBottom w:val="0"/>
          <w:divBdr>
            <w:top w:val="none" w:sz="0" w:space="0" w:color="auto"/>
            <w:left w:val="none" w:sz="0" w:space="0" w:color="auto"/>
            <w:bottom w:val="none" w:sz="0" w:space="0" w:color="auto"/>
            <w:right w:val="none" w:sz="0" w:space="0" w:color="auto"/>
          </w:divBdr>
        </w:div>
        <w:div w:id="380594930">
          <w:marLeft w:val="0"/>
          <w:marRight w:val="0"/>
          <w:marTop w:val="0"/>
          <w:marBottom w:val="0"/>
          <w:divBdr>
            <w:top w:val="none" w:sz="0" w:space="0" w:color="auto"/>
            <w:left w:val="none" w:sz="0" w:space="0" w:color="auto"/>
            <w:bottom w:val="none" w:sz="0" w:space="0" w:color="auto"/>
            <w:right w:val="none" w:sz="0" w:space="0" w:color="auto"/>
          </w:divBdr>
        </w:div>
        <w:div w:id="411896146">
          <w:marLeft w:val="0"/>
          <w:marRight w:val="0"/>
          <w:marTop w:val="0"/>
          <w:marBottom w:val="0"/>
          <w:divBdr>
            <w:top w:val="none" w:sz="0" w:space="0" w:color="auto"/>
            <w:left w:val="none" w:sz="0" w:space="0" w:color="auto"/>
            <w:bottom w:val="none" w:sz="0" w:space="0" w:color="auto"/>
            <w:right w:val="none" w:sz="0" w:space="0" w:color="auto"/>
          </w:divBdr>
        </w:div>
        <w:div w:id="473060878">
          <w:marLeft w:val="0"/>
          <w:marRight w:val="0"/>
          <w:marTop w:val="0"/>
          <w:marBottom w:val="0"/>
          <w:divBdr>
            <w:top w:val="none" w:sz="0" w:space="0" w:color="auto"/>
            <w:left w:val="none" w:sz="0" w:space="0" w:color="auto"/>
            <w:bottom w:val="none" w:sz="0" w:space="0" w:color="auto"/>
            <w:right w:val="none" w:sz="0" w:space="0" w:color="auto"/>
          </w:divBdr>
        </w:div>
        <w:div w:id="478961777">
          <w:marLeft w:val="0"/>
          <w:marRight w:val="0"/>
          <w:marTop w:val="0"/>
          <w:marBottom w:val="0"/>
          <w:divBdr>
            <w:top w:val="none" w:sz="0" w:space="0" w:color="auto"/>
            <w:left w:val="none" w:sz="0" w:space="0" w:color="auto"/>
            <w:bottom w:val="none" w:sz="0" w:space="0" w:color="auto"/>
            <w:right w:val="none" w:sz="0" w:space="0" w:color="auto"/>
          </w:divBdr>
        </w:div>
        <w:div w:id="538905474">
          <w:marLeft w:val="0"/>
          <w:marRight w:val="0"/>
          <w:marTop w:val="0"/>
          <w:marBottom w:val="0"/>
          <w:divBdr>
            <w:top w:val="none" w:sz="0" w:space="0" w:color="auto"/>
            <w:left w:val="none" w:sz="0" w:space="0" w:color="auto"/>
            <w:bottom w:val="none" w:sz="0" w:space="0" w:color="auto"/>
            <w:right w:val="none" w:sz="0" w:space="0" w:color="auto"/>
          </w:divBdr>
        </w:div>
        <w:div w:id="703023168">
          <w:marLeft w:val="0"/>
          <w:marRight w:val="0"/>
          <w:marTop w:val="0"/>
          <w:marBottom w:val="0"/>
          <w:divBdr>
            <w:top w:val="none" w:sz="0" w:space="0" w:color="auto"/>
            <w:left w:val="none" w:sz="0" w:space="0" w:color="auto"/>
            <w:bottom w:val="none" w:sz="0" w:space="0" w:color="auto"/>
            <w:right w:val="none" w:sz="0" w:space="0" w:color="auto"/>
          </w:divBdr>
        </w:div>
        <w:div w:id="711661503">
          <w:marLeft w:val="0"/>
          <w:marRight w:val="0"/>
          <w:marTop w:val="0"/>
          <w:marBottom w:val="0"/>
          <w:divBdr>
            <w:top w:val="none" w:sz="0" w:space="0" w:color="auto"/>
            <w:left w:val="none" w:sz="0" w:space="0" w:color="auto"/>
            <w:bottom w:val="none" w:sz="0" w:space="0" w:color="auto"/>
            <w:right w:val="none" w:sz="0" w:space="0" w:color="auto"/>
          </w:divBdr>
        </w:div>
        <w:div w:id="834493504">
          <w:marLeft w:val="0"/>
          <w:marRight w:val="0"/>
          <w:marTop w:val="0"/>
          <w:marBottom w:val="0"/>
          <w:divBdr>
            <w:top w:val="none" w:sz="0" w:space="0" w:color="auto"/>
            <w:left w:val="none" w:sz="0" w:space="0" w:color="auto"/>
            <w:bottom w:val="none" w:sz="0" w:space="0" w:color="auto"/>
            <w:right w:val="none" w:sz="0" w:space="0" w:color="auto"/>
          </w:divBdr>
        </w:div>
        <w:div w:id="848369595">
          <w:marLeft w:val="0"/>
          <w:marRight w:val="0"/>
          <w:marTop w:val="0"/>
          <w:marBottom w:val="0"/>
          <w:divBdr>
            <w:top w:val="none" w:sz="0" w:space="0" w:color="auto"/>
            <w:left w:val="none" w:sz="0" w:space="0" w:color="auto"/>
            <w:bottom w:val="none" w:sz="0" w:space="0" w:color="auto"/>
            <w:right w:val="none" w:sz="0" w:space="0" w:color="auto"/>
          </w:divBdr>
        </w:div>
        <w:div w:id="965966022">
          <w:marLeft w:val="0"/>
          <w:marRight w:val="0"/>
          <w:marTop w:val="0"/>
          <w:marBottom w:val="0"/>
          <w:divBdr>
            <w:top w:val="none" w:sz="0" w:space="0" w:color="auto"/>
            <w:left w:val="none" w:sz="0" w:space="0" w:color="auto"/>
            <w:bottom w:val="none" w:sz="0" w:space="0" w:color="auto"/>
            <w:right w:val="none" w:sz="0" w:space="0" w:color="auto"/>
          </w:divBdr>
        </w:div>
        <w:div w:id="975528001">
          <w:marLeft w:val="0"/>
          <w:marRight w:val="0"/>
          <w:marTop w:val="0"/>
          <w:marBottom w:val="0"/>
          <w:divBdr>
            <w:top w:val="none" w:sz="0" w:space="0" w:color="auto"/>
            <w:left w:val="none" w:sz="0" w:space="0" w:color="auto"/>
            <w:bottom w:val="none" w:sz="0" w:space="0" w:color="auto"/>
            <w:right w:val="none" w:sz="0" w:space="0" w:color="auto"/>
          </w:divBdr>
        </w:div>
        <w:div w:id="1110125919">
          <w:marLeft w:val="0"/>
          <w:marRight w:val="0"/>
          <w:marTop w:val="0"/>
          <w:marBottom w:val="0"/>
          <w:divBdr>
            <w:top w:val="none" w:sz="0" w:space="0" w:color="auto"/>
            <w:left w:val="none" w:sz="0" w:space="0" w:color="auto"/>
            <w:bottom w:val="none" w:sz="0" w:space="0" w:color="auto"/>
            <w:right w:val="none" w:sz="0" w:space="0" w:color="auto"/>
          </w:divBdr>
        </w:div>
        <w:div w:id="1197156846">
          <w:marLeft w:val="0"/>
          <w:marRight w:val="0"/>
          <w:marTop w:val="0"/>
          <w:marBottom w:val="0"/>
          <w:divBdr>
            <w:top w:val="none" w:sz="0" w:space="0" w:color="auto"/>
            <w:left w:val="none" w:sz="0" w:space="0" w:color="auto"/>
            <w:bottom w:val="none" w:sz="0" w:space="0" w:color="auto"/>
            <w:right w:val="none" w:sz="0" w:space="0" w:color="auto"/>
          </w:divBdr>
        </w:div>
        <w:div w:id="1318344470">
          <w:marLeft w:val="0"/>
          <w:marRight w:val="0"/>
          <w:marTop w:val="0"/>
          <w:marBottom w:val="0"/>
          <w:divBdr>
            <w:top w:val="none" w:sz="0" w:space="0" w:color="auto"/>
            <w:left w:val="none" w:sz="0" w:space="0" w:color="auto"/>
            <w:bottom w:val="none" w:sz="0" w:space="0" w:color="auto"/>
            <w:right w:val="none" w:sz="0" w:space="0" w:color="auto"/>
          </w:divBdr>
        </w:div>
        <w:div w:id="1326859993">
          <w:marLeft w:val="0"/>
          <w:marRight w:val="0"/>
          <w:marTop w:val="0"/>
          <w:marBottom w:val="0"/>
          <w:divBdr>
            <w:top w:val="none" w:sz="0" w:space="0" w:color="auto"/>
            <w:left w:val="none" w:sz="0" w:space="0" w:color="auto"/>
            <w:bottom w:val="none" w:sz="0" w:space="0" w:color="auto"/>
            <w:right w:val="none" w:sz="0" w:space="0" w:color="auto"/>
          </w:divBdr>
        </w:div>
        <w:div w:id="1332760069">
          <w:marLeft w:val="0"/>
          <w:marRight w:val="0"/>
          <w:marTop w:val="0"/>
          <w:marBottom w:val="0"/>
          <w:divBdr>
            <w:top w:val="none" w:sz="0" w:space="0" w:color="auto"/>
            <w:left w:val="none" w:sz="0" w:space="0" w:color="auto"/>
            <w:bottom w:val="none" w:sz="0" w:space="0" w:color="auto"/>
            <w:right w:val="none" w:sz="0" w:space="0" w:color="auto"/>
          </w:divBdr>
        </w:div>
        <w:div w:id="1338339233">
          <w:marLeft w:val="0"/>
          <w:marRight w:val="0"/>
          <w:marTop w:val="0"/>
          <w:marBottom w:val="0"/>
          <w:divBdr>
            <w:top w:val="none" w:sz="0" w:space="0" w:color="auto"/>
            <w:left w:val="none" w:sz="0" w:space="0" w:color="auto"/>
            <w:bottom w:val="none" w:sz="0" w:space="0" w:color="auto"/>
            <w:right w:val="none" w:sz="0" w:space="0" w:color="auto"/>
          </w:divBdr>
        </w:div>
        <w:div w:id="1383823087">
          <w:marLeft w:val="0"/>
          <w:marRight w:val="0"/>
          <w:marTop w:val="0"/>
          <w:marBottom w:val="0"/>
          <w:divBdr>
            <w:top w:val="none" w:sz="0" w:space="0" w:color="auto"/>
            <w:left w:val="none" w:sz="0" w:space="0" w:color="auto"/>
            <w:bottom w:val="none" w:sz="0" w:space="0" w:color="auto"/>
            <w:right w:val="none" w:sz="0" w:space="0" w:color="auto"/>
          </w:divBdr>
        </w:div>
        <w:div w:id="1402099629">
          <w:marLeft w:val="0"/>
          <w:marRight w:val="0"/>
          <w:marTop w:val="0"/>
          <w:marBottom w:val="0"/>
          <w:divBdr>
            <w:top w:val="none" w:sz="0" w:space="0" w:color="auto"/>
            <w:left w:val="none" w:sz="0" w:space="0" w:color="auto"/>
            <w:bottom w:val="none" w:sz="0" w:space="0" w:color="auto"/>
            <w:right w:val="none" w:sz="0" w:space="0" w:color="auto"/>
          </w:divBdr>
        </w:div>
        <w:div w:id="1438870749">
          <w:marLeft w:val="0"/>
          <w:marRight w:val="0"/>
          <w:marTop w:val="0"/>
          <w:marBottom w:val="0"/>
          <w:divBdr>
            <w:top w:val="none" w:sz="0" w:space="0" w:color="auto"/>
            <w:left w:val="none" w:sz="0" w:space="0" w:color="auto"/>
            <w:bottom w:val="none" w:sz="0" w:space="0" w:color="auto"/>
            <w:right w:val="none" w:sz="0" w:space="0" w:color="auto"/>
          </w:divBdr>
        </w:div>
        <w:div w:id="1541822849">
          <w:marLeft w:val="0"/>
          <w:marRight w:val="0"/>
          <w:marTop w:val="0"/>
          <w:marBottom w:val="0"/>
          <w:divBdr>
            <w:top w:val="none" w:sz="0" w:space="0" w:color="auto"/>
            <w:left w:val="none" w:sz="0" w:space="0" w:color="auto"/>
            <w:bottom w:val="none" w:sz="0" w:space="0" w:color="auto"/>
            <w:right w:val="none" w:sz="0" w:space="0" w:color="auto"/>
          </w:divBdr>
        </w:div>
        <w:div w:id="1556237492">
          <w:marLeft w:val="0"/>
          <w:marRight w:val="0"/>
          <w:marTop w:val="0"/>
          <w:marBottom w:val="0"/>
          <w:divBdr>
            <w:top w:val="none" w:sz="0" w:space="0" w:color="auto"/>
            <w:left w:val="none" w:sz="0" w:space="0" w:color="auto"/>
            <w:bottom w:val="none" w:sz="0" w:space="0" w:color="auto"/>
            <w:right w:val="none" w:sz="0" w:space="0" w:color="auto"/>
          </w:divBdr>
        </w:div>
        <w:div w:id="1581325994">
          <w:marLeft w:val="0"/>
          <w:marRight w:val="0"/>
          <w:marTop w:val="0"/>
          <w:marBottom w:val="0"/>
          <w:divBdr>
            <w:top w:val="none" w:sz="0" w:space="0" w:color="auto"/>
            <w:left w:val="none" w:sz="0" w:space="0" w:color="auto"/>
            <w:bottom w:val="none" w:sz="0" w:space="0" w:color="auto"/>
            <w:right w:val="none" w:sz="0" w:space="0" w:color="auto"/>
          </w:divBdr>
        </w:div>
        <w:div w:id="1590382552">
          <w:marLeft w:val="0"/>
          <w:marRight w:val="0"/>
          <w:marTop w:val="0"/>
          <w:marBottom w:val="0"/>
          <w:divBdr>
            <w:top w:val="none" w:sz="0" w:space="0" w:color="auto"/>
            <w:left w:val="none" w:sz="0" w:space="0" w:color="auto"/>
            <w:bottom w:val="none" w:sz="0" w:space="0" w:color="auto"/>
            <w:right w:val="none" w:sz="0" w:space="0" w:color="auto"/>
          </w:divBdr>
        </w:div>
        <w:div w:id="1632638935">
          <w:marLeft w:val="0"/>
          <w:marRight w:val="0"/>
          <w:marTop w:val="0"/>
          <w:marBottom w:val="0"/>
          <w:divBdr>
            <w:top w:val="none" w:sz="0" w:space="0" w:color="auto"/>
            <w:left w:val="none" w:sz="0" w:space="0" w:color="auto"/>
            <w:bottom w:val="none" w:sz="0" w:space="0" w:color="auto"/>
            <w:right w:val="none" w:sz="0" w:space="0" w:color="auto"/>
          </w:divBdr>
        </w:div>
        <w:div w:id="1730573516">
          <w:marLeft w:val="0"/>
          <w:marRight w:val="0"/>
          <w:marTop w:val="0"/>
          <w:marBottom w:val="0"/>
          <w:divBdr>
            <w:top w:val="none" w:sz="0" w:space="0" w:color="auto"/>
            <w:left w:val="none" w:sz="0" w:space="0" w:color="auto"/>
            <w:bottom w:val="none" w:sz="0" w:space="0" w:color="auto"/>
            <w:right w:val="none" w:sz="0" w:space="0" w:color="auto"/>
          </w:divBdr>
        </w:div>
        <w:div w:id="1758399093">
          <w:marLeft w:val="0"/>
          <w:marRight w:val="0"/>
          <w:marTop w:val="0"/>
          <w:marBottom w:val="0"/>
          <w:divBdr>
            <w:top w:val="none" w:sz="0" w:space="0" w:color="auto"/>
            <w:left w:val="none" w:sz="0" w:space="0" w:color="auto"/>
            <w:bottom w:val="none" w:sz="0" w:space="0" w:color="auto"/>
            <w:right w:val="none" w:sz="0" w:space="0" w:color="auto"/>
          </w:divBdr>
        </w:div>
        <w:div w:id="1890070477">
          <w:marLeft w:val="0"/>
          <w:marRight w:val="0"/>
          <w:marTop w:val="0"/>
          <w:marBottom w:val="0"/>
          <w:divBdr>
            <w:top w:val="none" w:sz="0" w:space="0" w:color="auto"/>
            <w:left w:val="none" w:sz="0" w:space="0" w:color="auto"/>
            <w:bottom w:val="none" w:sz="0" w:space="0" w:color="auto"/>
            <w:right w:val="none" w:sz="0" w:space="0" w:color="auto"/>
          </w:divBdr>
        </w:div>
        <w:div w:id="1939633512">
          <w:marLeft w:val="0"/>
          <w:marRight w:val="0"/>
          <w:marTop w:val="0"/>
          <w:marBottom w:val="0"/>
          <w:divBdr>
            <w:top w:val="none" w:sz="0" w:space="0" w:color="auto"/>
            <w:left w:val="none" w:sz="0" w:space="0" w:color="auto"/>
            <w:bottom w:val="none" w:sz="0" w:space="0" w:color="auto"/>
            <w:right w:val="none" w:sz="0" w:space="0" w:color="auto"/>
          </w:divBdr>
        </w:div>
        <w:div w:id="1996303355">
          <w:marLeft w:val="0"/>
          <w:marRight w:val="0"/>
          <w:marTop w:val="0"/>
          <w:marBottom w:val="0"/>
          <w:divBdr>
            <w:top w:val="none" w:sz="0" w:space="0" w:color="auto"/>
            <w:left w:val="none" w:sz="0" w:space="0" w:color="auto"/>
            <w:bottom w:val="none" w:sz="0" w:space="0" w:color="auto"/>
            <w:right w:val="none" w:sz="0" w:space="0" w:color="auto"/>
          </w:divBdr>
        </w:div>
        <w:div w:id="2000159276">
          <w:marLeft w:val="0"/>
          <w:marRight w:val="0"/>
          <w:marTop w:val="0"/>
          <w:marBottom w:val="0"/>
          <w:divBdr>
            <w:top w:val="none" w:sz="0" w:space="0" w:color="auto"/>
            <w:left w:val="none" w:sz="0" w:space="0" w:color="auto"/>
            <w:bottom w:val="none" w:sz="0" w:space="0" w:color="auto"/>
            <w:right w:val="none" w:sz="0" w:space="0" w:color="auto"/>
          </w:divBdr>
        </w:div>
        <w:div w:id="2024473884">
          <w:marLeft w:val="0"/>
          <w:marRight w:val="0"/>
          <w:marTop w:val="0"/>
          <w:marBottom w:val="0"/>
          <w:divBdr>
            <w:top w:val="none" w:sz="0" w:space="0" w:color="auto"/>
            <w:left w:val="none" w:sz="0" w:space="0" w:color="auto"/>
            <w:bottom w:val="none" w:sz="0" w:space="0" w:color="auto"/>
            <w:right w:val="none" w:sz="0" w:space="0" w:color="auto"/>
          </w:divBdr>
        </w:div>
        <w:div w:id="2043282100">
          <w:marLeft w:val="0"/>
          <w:marRight w:val="0"/>
          <w:marTop w:val="0"/>
          <w:marBottom w:val="0"/>
          <w:divBdr>
            <w:top w:val="none" w:sz="0" w:space="0" w:color="auto"/>
            <w:left w:val="none" w:sz="0" w:space="0" w:color="auto"/>
            <w:bottom w:val="none" w:sz="0" w:space="0" w:color="auto"/>
            <w:right w:val="none" w:sz="0" w:space="0" w:color="auto"/>
          </w:divBdr>
        </w:div>
        <w:div w:id="2051226041">
          <w:marLeft w:val="0"/>
          <w:marRight w:val="0"/>
          <w:marTop w:val="0"/>
          <w:marBottom w:val="0"/>
          <w:divBdr>
            <w:top w:val="none" w:sz="0" w:space="0" w:color="auto"/>
            <w:left w:val="none" w:sz="0" w:space="0" w:color="auto"/>
            <w:bottom w:val="none" w:sz="0" w:space="0" w:color="auto"/>
            <w:right w:val="none" w:sz="0" w:space="0" w:color="auto"/>
          </w:divBdr>
        </w:div>
        <w:div w:id="2119375813">
          <w:marLeft w:val="0"/>
          <w:marRight w:val="0"/>
          <w:marTop w:val="0"/>
          <w:marBottom w:val="0"/>
          <w:divBdr>
            <w:top w:val="none" w:sz="0" w:space="0" w:color="auto"/>
            <w:left w:val="none" w:sz="0" w:space="0" w:color="auto"/>
            <w:bottom w:val="none" w:sz="0" w:space="0" w:color="auto"/>
            <w:right w:val="none" w:sz="0" w:space="0" w:color="auto"/>
          </w:divBdr>
        </w:div>
        <w:div w:id="2129077997">
          <w:marLeft w:val="0"/>
          <w:marRight w:val="0"/>
          <w:marTop w:val="0"/>
          <w:marBottom w:val="0"/>
          <w:divBdr>
            <w:top w:val="none" w:sz="0" w:space="0" w:color="auto"/>
            <w:left w:val="none" w:sz="0" w:space="0" w:color="auto"/>
            <w:bottom w:val="none" w:sz="0" w:space="0" w:color="auto"/>
            <w:right w:val="none" w:sz="0" w:space="0" w:color="auto"/>
          </w:divBdr>
        </w:div>
      </w:divsChild>
    </w:div>
    <w:div w:id="849367256">
      <w:bodyDiv w:val="1"/>
      <w:marLeft w:val="0"/>
      <w:marRight w:val="0"/>
      <w:marTop w:val="0"/>
      <w:marBottom w:val="0"/>
      <w:divBdr>
        <w:top w:val="none" w:sz="0" w:space="0" w:color="auto"/>
        <w:left w:val="none" w:sz="0" w:space="0" w:color="auto"/>
        <w:bottom w:val="none" w:sz="0" w:space="0" w:color="auto"/>
        <w:right w:val="none" w:sz="0" w:space="0" w:color="auto"/>
      </w:divBdr>
      <w:divsChild>
        <w:div w:id="1107047453">
          <w:marLeft w:val="0"/>
          <w:marRight w:val="0"/>
          <w:marTop w:val="0"/>
          <w:marBottom w:val="0"/>
          <w:divBdr>
            <w:top w:val="none" w:sz="0" w:space="0" w:color="auto"/>
            <w:left w:val="none" w:sz="0" w:space="0" w:color="auto"/>
            <w:bottom w:val="none" w:sz="0" w:space="0" w:color="auto"/>
            <w:right w:val="none" w:sz="0" w:space="0" w:color="auto"/>
          </w:divBdr>
        </w:div>
        <w:div w:id="1199900317">
          <w:marLeft w:val="0"/>
          <w:marRight w:val="0"/>
          <w:marTop w:val="0"/>
          <w:marBottom w:val="0"/>
          <w:divBdr>
            <w:top w:val="none" w:sz="0" w:space="0" w:color="auto"/>
            <w:left w:val="none" w:sz="0" w:space="0" w:color="auto"/>
            <w:bottom w:val="none" w:sz="0" w:space="0" w:color="auto"/>
            <w:right w:val="none" w:sz="0" w:space="0" w:color="auto"/>
          </w:divBdr>
        </w:div>
        <w:div w:id="1503818532">
          <w:marLeft w:val="0"/>
          <w:marRight w:val="0"/>
          <w:marTop w:val="0"/>
          <w:marBottom w:val="0"/>
          <w:divBdr>
            <w:top w:val="none" w:sz="0" w:space="0" w:color="auto"/>
            <w:left w:val="none" w:sz="0" w:space="0" w:color="auto"/>
            <w:bottom w:val="none" w:sz="0" w:space="0" w:color="auto"/>
            <w:right w:val="none" w:sz="0" w:space="0" w:color="auto"/>
          </w:divBdr>
        </w:div>
        <w:div w:id="1644192456">
          <w:marLeft w:val="0"/>
          <w:marRight w:val="0"/>
          <w:marTop w:val="0"/>
          <w:marBottom w:val="0"/>
          <w:divBdr>
            <w:top w:val="none" w:sz="0" w:space="0" w:color="auto"/>
            <w:left w:val="none" w:sz="0" w:space="0" w:color="auto"/>
            <w:bottom w:val="none" w:sz="0" w:space="0" w:color="auto"/>
            <w:right w:val="none" w:sz="0" w:space="0" w:color="auto"/>
          </w:divBdr>
        </w:div>
        <w:div w:id="1744253570">
          <w:marLeft w:val="0"/>
          <w:marRight w:val="0"/>
          <w:marTop w:val="0"/>
          <w:marBottom w:val="0"/>
          <w:divBdr>
            <w:top w:val="none" w:sz="0" w:space="0" w:color="auto"/>
            <w:left w:val="none" w:sz="0" w:space="0" w:color="auto"/>
            <w:bottom w:val="none" w:sz="0" w:space="0" w:color="auto"/>
            <w:right w:val="none" w:sz="0" w:space="0" w:color="auto"/>
          </w:divBdr>
        </w:div>
      </w:divsChild>
    </w:div>
    <w:div w:id="852231913">
      <w:bodyDiv w:val="1"/>
      <w:marLeft w:val="0"/>
      <w:marRight w:val="0"/>
      <w:marTop w:val="0"/>
      <w:marBottom w:val="0"/>
      <w:divBdr>
        <w:top w:val="none" w:sz="0" w:space="0" w:color="auto"/>
        <w:left w:val="none" w:sz="0" w:space="0" w:color="auto"/>
        <w:bottom w:val="none" w:sz="0" w:space="0" w:color="auto"/>
        <w:right w:val="none" w:sz="0" w:space="0" w:color="auto"/>
      </w:divBdr>
    </w:div>
    <w:div w:id="861087648">
      <w:bodyDiv w:val="1"/>
      <w:marLeft w:val="0"/>
      <w:marRight w:val="0"/>
      <w:marTop w:val="0"/>
      <w:marBottom w:val="0"/>
      <w:divBdr>
        <w:top w:val="none" w:sz="0" w:space="0" w:color="auto"/>
        <w:left w:val="none" w:sz="0" w:space="0" w:color="auto"/>
        <w:bottom w:val="none" w:sz="0" w:space="0" w:color="auto"/>
        <w:right w:val="none" w:sz="0" w:space="0" w:color="auto"/>
      </w:divBdr>
    </w:div>
    <w:div w:id="878132404">
      <w:bodyDiv w:val="1"/>
      <w:marLeft w:val="0"/>
      <w:marRight w:val="0"/>
      <w:marTop w:val="0"/>
      <w:marBottom w:val="0"/>
      <w:divBdr>
        <w:top w:val="none" w:sz="0" w:space="0" w:color="auto"/>
        <w:left w:val="none" w:sz="0" w:space="0" w:color="auto"/>
        <w:bottom w:val="none" w:sz="0" w:space="0" w:color="auto"/>
        <w:right w:val="none" w:sz="0" w:space="0" w:color="auto"/>
      </w:divBdr>
      <w:divsChild>
        <w:div w:id="127549057">
          <w:marLeft w:val="0"/>
          <w:marRight w:val="0"/>
          <w:marTop w:val="0"/>
          <w:marBottom w:val="0"/>
          <w:divBdr>
            <w:top w:val="none" w:sz="0" w:space="0" w:color="auto"/>
            <w:left w:val="none" w:sz="0" w:space="0" w:color="auto"/>
            <w:bottom w:val="none" w:sz="0" w:space="0" w:color="auto"/>
            <w:right w:val="none" w:sz="0" w:space="0" w:color="auto"/>
          </w:divBdr>
        </w:div>
        <w:div w:id="152642297">
          <w:marLeft w:val="0"/>
          <w:marRight w:val="0"/>
          <w:marTop w:val="0"/>
          <w:marBottom w:val="0"/>
          <w:divBdr>
            <w:top w:val="none" w:sz="0" w:space="0" w:color="auto"/>
            <w:left w:val="none" w:sz="0" w:space="0" w:color="auto"/>
            <w:bottom w:val="none" w:sz="0" w:space="0" w:color="auto"/>
            <w:right w:val="none" w:sz="0" w:space="0" w:color="auto"/>
          </w:divBdr>
        </w:div>
        <w:div w:id="1780179268">
          <w:marLeft w:val="0"/>
          <w:marRight w:val="0"/>
          <w:marTop w:val="0"/>
          <w:marBottom w:val="0"/>
          <w:divBdr>
            <w:top w:val="none" w:sz="0" w:space="0" w:color="auto"/>
            <w:left w:val="none" w:sz="0" w:space="0" w:color="auto"/>
            <w:bottom w:val="none" w:sz="0" w:space="0" w:color="auto"/>
            <w:right w:val="none" w:sz="0" w:space="0" w:color="auto"/>
          </w:divBdr>
        </w:div>
      </w:divsChild>
    </w:div>
    <w:div w:id="939217652">
      <w:bodyDiv w:val="1"/>
      <w:marLeft w:val="0"/>
      <w:marRight w:val="0"/>
      <w:marTop w:val="0"/>
      <w:marBottom w:val="0"/>
      <w:divBdr>
        <w:top w:val="none" w:sz="0" w:space="0" w:color="auto"/>
        <w:left w:val="none" w:sz="0" w:space="0" w:color="auto"/>
        <w:bottom w:val="none" w:sz="0" w:space="0" w:color="auto"/>
        <w:right w:val="none" w:sz="0" w:space="0" w:color="auto"/>
      </w:divBdr>
      <w:divsChild>
        <w:div w:id="538475283">
          <w:marLeft w:val="0"/>
          <w:marRight w:val="0"/>
          <w:marTop w:val="0"/>
          <w:marBottom w:val="0"/>
          <w:divBdr>
            <w:top w:val="single" w:sz="2" w:space="0" w:color="auto"/>
            <w:left w:val="single" w:sz="2" w:space="0" w:color="auto"/>
            <w:bottom w:val="single" w:sz="2" w:space="0" w:color="auto"/>
            <w:right w:val="single" w:sz="2" w:space="0" w:color="auto"/>
          </w:divBdr>
          <w:divsChild>
            <w:div w:id="440540837">
              <w:marLeft w:val="0"/>
              <w:marRight w:val="0"/>
              <w:marTop w:val="0"/>
              <w:marBottom w:val="0"/>
              <w:divBdr>
                <w:top w:val="single" w:sz="2" w:space="0" w:color="auto"/>
                <w:left w:val="single" w:sz="2" w:space="0" w:color="auto"/>
                <w:bottom w:val="single" w:sz="2" w:space="0" w:color="auto"/>
                <w:right w:val="single" w:sz="2" w:space="0" w:color="auto"/>
              </w:divBdr>
            </w:div>
          </w:divsChild>
        </w:div>
        <w:div w:id="1808012910">
          <w:marLeft w:val="0"/>
          <w:marRight w:val="0"/>
          <w:marTop w:val="0"/>
          <w:marBottom w:val="0"/>
          <w:divBdr>
            <w:top w:val="single" w:sz="2" w:space="0" w:color="auto"/>
            <w:left w:val="single" w:sz="2" w:space="0" w:color="auto"/>
            <w:bottom w:val="single" w:sz="2" w:space="0" w:color="auto"/>
            <w:right w:val="single" w:sz="2" w:space="0" w:color="auto"/>
          </w:divBdr>
          <w:divsChild>
            <w:div w:id="83449426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960066737">
      <w:bodyDiv w:val="1"/>
      <w:marLeft w:val="0"/>
      <w:marRight w:val="0"/>
      <w:marTop w:val="0"/>
      <w:marBottom w:val="0"/>
      <w:divBdr>
        <w:top w:val="none" w:sz="0" w:space="0" w:color="auto"/>
        <w:left w:val="none" w:sz="0" w:space="0" w:color="auto"/>
        <w:bottom w:val="none" w:sz="0" w:space="0" w:color="auto"/>
        <w:right w:val="none" w:sz="0" w:space="0" w:color="auto"/>
      </w:divBdr>
    </w:div>
    <w:div w:id="962811981">
      <w:bodyDiv w:val="1"/>
      <w:marLeft w:val="0"/>
      <w:marRight w:val="0"/>
      <w:marTop w:val="0"/>
      <w:marBottom w:val="0"/>
      <w:divBdr>
        <w:top w:val="none" w:sz="0" w:space="0" w:color="auto"/>
        <w:left w:val="none" w:sz="0" w:space="0" w:color="auto"/>
        <w:bottom w:val="none" w:sz="0" w:space="0" w:color="auto"/>
        <w:right w:val="none" w:sz="0" w:space="0" w:color="auto"/>
      </w:divBdr>
    </w:div>
    <w:div w:id="966930688">
      <w:bodyDiv w:val="1"/>
      <w:marLeft w:val="0"/>
      <w:marRight w:val="0"/>
      <w:marTop w:val="0"/>
      <w:marBottom w:val="0"/>
      <w:divBdr>
        <w:top w:val="none" w:sz="0" w:space="0" w:color="auto"/>
        <w:left w:val="none" w:sz="0" w:space="0" w:color="auto"/>
        <w:bottom w:val="none" w:sz="0" w:space="0" w:color="auto"/>
        <w:right w:val="none" w:sz="0" w:space="0" w:color="auto"/>
      </w:divBdr>
    </w:div>
    <w:div w:id="971130041">
      <w:bodyDiv w:val="1"/>
      <w:marLeft w:val="0"/>
      <w:marRight w:val="0"/>
      <w:marTop w:val="0"/>
      <w:marBottom w:val="0"/>
      <w:divBdr>
        <w:top w:val="none" w:sz="0" w:space="0" w:color="auto"/>
        <w:left w:val="none" w:sz="0" w:space="0" w:color="auto"/>
        <w:bottom w:val="none" w:sz="0" w:space="0" w:color="auto"/>
        <w:right w:val="none" w:sz="0" w:space="0" w:color="auto"/>
      </w:divBdr>
      <w:divsChild>
        <w:div w:id="369652023">
          <w:marLeft w:val="0"/>
          <w:marRight w:val="0"/>
          <w:marTop w:val="0"/>
          <w:marBottom w:val="0"/>
          <w:divBdr>
            <w:top w:val="none" w:sz="0" w:space="0" w:color="auto"/>
            <w:left w:val="none" w:sz="0" w:space="0" w:color="auto"/>
            <w:bottom w:val="none" w:sz="0" w:space="0" w:color="auto"/>
            <w:right w:val="none" w:sz="0" w:space="0" w:color="auto"/>
          </w:divBdr>
        </w:div>
        <w:div w:id="1661349144">
          <w:marLeft w:val="0"/>
          <w:marRight w:val="0"/>
          <w:marTop w:val="0"/>
          <w:marBottom w:val="0"/>
          <w:divBdr>
            <w:top w:val="none" w:sz="0" w:space="0" w:color="auto"/>
            <w:left w:val="none" w:sz="0" w:space="0" w:color="auto"/>
            <w:bottom w:val="none" w:sz="0" w:space="0" w:color="auto"/>
            <w:right w:val="none" w:sz="0" w:space="0" w:color="auto"/>
          </w:divBdr>
        </w:div>
        <w:div w:id="1857618190">
          <w:marLeft w:val="0"/>
          <w:marRight w:val="0"/>
          <w:marTop w:val="0"/>
          <w:marBottom w:val="0"/>
          <w:divBdr>
            <w:top w:val="none" w:sz="0" w:space="0" w:color="auto"/>
            <w:left w:val="none" w:sz="0" w:space="0" w:color="auto"/>
            <w:bottom w:val="none" w:sz="0" w:space="0" w:color="auto"/>
            <w:right w:val="none" w:sz="0" w:space="0" w:color="auto"/>
          </w:divBdr>
        </w:div>
        <w:div w:id="1909146667">
          <w:marLeft w:val="0"/>
          <w:marRight w:val="0"/>
          <w:marTop w:val="0"/>
          <w:marBottom w:val="0"/>
          <w:divBdr>
            <w:top w:val="none" w:sz="0" w:space="0" w:color="auto"/>
            <w:left w:val="none" w:sz="0" w:space="0" w:color="auto"/>
            <w:bottom w:val="none" w:sz="0" w:space="0" w:color="auto"/>
            <w:right w:val="none" w:sz="0" w:space="0" w:color="auto"/>
          </w:divBdr>
        </w:div>
      </w:divsChild>
    </w:div>
    <w:div w:id="988899925">
      <w:bodyDiv w:val="1"/>
      <w:marLeft w:val="0"/>
      <w:marRight w:val="0"/>
      <w:marTop w:val="0"/>
      <w:marBottom w:val="0"/>
      <w:divBdr>
        <w:top w:val="none" w:sz="0" w:space="0" w:color="auto"/>
        <w:left w:val="none" w:sz="0" w:space="0" w:color="auto"/>
        <w:bottom w:val="none" w:sz="0" w:space="0" w:color="auto"/>
        <w:right w:val="none" w:sz="0" w:space="0" w:color="auto"/>
      </w:divBdr>
    </w:div>
    <w:div w:id="989939498">
      <w:bodyDiv w:val="1"/>
      <w:marLeft w:val="0"/>
      <w:marRight w:val="0"/>
      <w:marTop w:val="0"/>
      <w:marBottom w:val="0"/>
      <w:divBdr>
        <w:top w:val="none" w:sz="0" w:space="0" w:color="auto"/>
        <w:left w:val="none" w:sz="0" w:space="0" w:color="auto"/>
        <w:bottom w:val="none" w:sz="0" w:space="0" w:color="auto"/>
        <w:right w:val="none" w:sz="0" w:space="0" w:color="auto"/>
      </w:divBdr>
    </w:div>
    <w:div w:id="1002391385">
      <w:bodyDiv w:val="1"/>
      <w:marLeft w:val="0"/>
      <w:marRight w:val="0"/>
      <w:marTop w:val="0"/>
      <w:marBottom w:val="0"/>
      <w:divBdr>
        <w:top w:val="none" w:sz="0" w:space="0" w:color="auto"/>
        <w:left w:val="none" w:sz="0" w:space="0" w:color="auto"/>
        <w:bottom w:val="none" w:sz="0" w:space="0" w:color="auto"/>
        <w:right w:val="none" w:sz="0" w:space="0" w:color="auto"/>
      </w:divBdr>
      <w:divsChild>
        <w:div w:id="440029024">
          <w:marLeft w:val="0"/>
          <w:marRight w:val="0"/>
          <w:marTop w:val="0"/>
          <w:marBottom w:val="0"/>
          <w:divBdr>
            <w:top w:val="none" w:sz="0" w:space="0" w:color="auto"/>
            <w:left w:val="none" w:sz="0" w:space="0" w:color="auto"/>
            <w:bottom w:val="none" w:sz="0" w:space="0" w:color="auto"/>
            <w:right w:val="none" w:sz="0" w:space="0" w:color="auto"/>
          </w:divBdr>
          <w:divsChild>
            <w:div w:id="300770344">
              <w:marLeft w:val="0"/>
              <w:marRight w:val="0"/>
              <w:marTop w:val="0"/>
              <w:marBottom w:val="0"/>
              <w:divBdr>
                <w:top w:val="none" w:sz="0" w:space="0" w:color="auto"/>
                <w:left w:val="none" w:sz="0" w:space="0" w:color="auto"/>
                <w:bottom w:val="none" w:sz="0" w:space="0" w:color="auto"/>
                <w:right w:val="none" w:sz="0" w:space="0" w:color="auto"/>
              </w:divBdr>
              <w:divsChild>
                <w:div w:id="1021592287">
                  <w:marLeft w:val="0"/>
                  <w:marRight w:val="0"/>
                  <w:marTop w:val="0"/>
                  <w:marBottom w:val="0"/>
                  <w:divBdr>
                    <w:top w:val="none" w:sz="0" w:space="0" w:color="auto"/>
                    <w:left w:val="none" w:sz="0" w:space="0" w:color="auto"/>
                    <w:bottom w:val="none" w:sz="0" w:space="0" w:color="auto"/>
                    <w:right w:val="none" w:sz="0" w:space="0" w:color="auto"/>
                  </w:divBdr>
                </w:div>
              </w:divsChild>
            </w:div>
            <w:div w:id="805123588">
              <w:marLeft w:val="0"/>
              <w:marRight w:val="0"/>
              <w:marTop w:val="0"/>
              <w:marBottom w:val="0"/>
              <w:divBdr>
                <w:top w:val="none" w:sz="0" w:space="0" w:color="auto"/>
                <w:left w:val="none" w:sz="0" w:space="0" w:color="auto"/>
                <w:bottom w:val="none" w:sz="0" w:space="0" w:color="auto"/>
                <w:right w:val="none" w:sz="0" w:space="0" w:color="auto"/>
              </w:divBdr>
              <w:divsChild>
                <w:div w:id="1163550057">
                  <w:marLeft w:val="0"/>
                  <w:marRight w:val="0"/>
                  <w:marTop w:val="0"/>
                  <w:marBottom w:val="0"/>
                  <w:divBdr>
                    <w:top w:val="none" w:sz="0" w:space="0" w:color="auto"/>
                    <w:left w:val="none" w:sz="0" w:space="0" w:color="auto"/>
                    <w:bottom w:val="none" w:sz="0" w:space="0" w:color="auto"/>
                    <w:right w:val="none" w:sz="0" w:space="0" w:color="auto"/>
                  </w:divBdr>
                </w:div>
              </w:divsChild>
            </w:div>
            <w:div w:id="1907032135">
              <w:marLeft w:val="0"/>
              <w:marRight w:val="0"/>
              <w:marTop w:val="0"/>
              <w:marBottom w:val="0"/>
              <w:divBdr>
                <w:top w:val="none" w:sz="0" w:space="0" w:color="auto"/>
                <w:left w:val="none" w:sz="0" w:space="0" w:color="auto"/>
                <w:bottom w:val="none" w:sz="0" w:space="0" w:color="auto"/>
                <w:right w:val="none" w:sz="0" w:space="0" w:color="auto"/>
              </w:divBdr>
              <w:divsChild>
                <w:div w:id="211583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976504">
      <w:bodyDiv w:val="1"/>
      <w:marLeft w:val="0"/>
      <w:marRight w:val="0"/>
      <w:marTop w:val="0"/>
      <w:marBottom w:val="0"/>
      <w:divBdr>
        <w:top w:val="none" w:sz="0" w:space="0" w:color="auto"/>
        <w:left w:val="none" w:sz="0" w:space="0" w:color="auto"/>
        <w:bottom w:val="none" w:sz="0" w:space="0" w:color="auto"/>
        <w:right w:val="none" w:sz="0" w:space="0" w:color="auto"/>
      </w:divBdr>
      <w:divsChild>
        <w:div w:id="944535709">
          <w:marLeft w:val="0"/>
          <w:marRight w:val="0"/>
          <w:marTop w:val="0"/>
          <w:marBottom w:val="0"/>
          <w:divBdr>
            <w:top w:val="none" w:sz="0" w:space="0" w:color="auto"/>
            <w:left w:val="none" w:sz="0" w:space="0" w:color="auto"/>
            <w:bottom w:val="none" w:sz="0" w:space="0" w:color="auto"/>
            <w:right w:val="none" w:sz="0" w:space="0" w:color="auto"/>
          </w:divBdr>
        </w:div>
      </w:divsChild>
    </w:div>
    <w:div w:id="1005017059">
      <w:bodyDiv w:val="1"/>
      <w:marLeft w:val="0"/>
      <w:marRight w:val="0"/>
      <w:marTop w:val="0"/>
      <w:marBottom w:val="0"/>
      <w:divBdr>
        <w:top w:val="none" w:sz="0" w:space="0" w:color="auto"/>
        <w:left w:val="none" w:sz="0" w:space="0" w:color="auto"/>
        <w:bottom w:val="none" w:sz="0" w:space="0" w:color="auto"/>
        <w:right w:val="none" w:sz="0" w:space="0" w:color="auto"/>
      </w:divBdr>
      <w:divsChild>
        <w:div w:id="18238339">
          <w:marLeft w:val="0"/>
          <w:marRight w:val="0"/>
          <w:marTop w:val="0"/>
          <w:marBottom w:val="0"/>
          <w:divBdr>
            <w:top w:val="none" w:sz="0" w:space="0" w:color="auto"/>
            <w:left w:val="none" w:sz="0" w:space="0" w:color="auto"/>
            <w:bottom w:val="none" w:sz="0" w:space="0" w:color="auto"/>
            <w:right w:val="none" w:sz="0" w:space="0" w:color="auto"/>
          </w:divBdr>
        </w:div>
        <w:div w:id="52050674">
          <w:marLeft w:val="0"/>
          <w:marRight w:val="0"/>
          <w:marTop w:val="0"/>
          <w:marBottom w:val="0"/>
          <w:divBdr>
            <w:top w:val="none" w:sz="0" w:space="0" w:color="auto"/>
            <w:left w:val="none" w:sz="0" w:space="0" w:color="auto"/>
            <w:bottom w:val="none" w:sz="0" w:space="0" w:color="auto"/>
            <w:right w:val="none" w:sz="0" w:space="0" w:color="auto"/>
          </w:divBdr>
        </w:div>
        <w:div w:id="122815583">
          <w:marLeft w:val="0"/>
          <w:marRight w:val="0"/>
          <w:marTop w:val="0"/>
          <w:marBottom w:val="0"/>
          <w:divBdr>
            <w:top w:val="none" w:sz="0" w:space="0" w:color="auto"/>
            <w:left w:val="none" w:sz="0" w:space="0" w:color="auto"/>
            <w:bottom w:val="none" w:sz="0" w:space="0" w:color="auto"/>
            <w:right w:val="none" w:sz="0" w:space="0" w:color="auto"/>
          </w:divBdr>
        </w:div>
        <w:div w:id="225386374">
          <w:marLeft w:val="0"/>
          <w:marRight w:val="0"/>
          <w:marTop w:val="0"/>
          <w:marBottom w:val="0"/>
          <w:divBdr>
            <w:top w:val="none" w:sz="0" w:space="0" w:color="auto"/>
            <w:left w:val="none" w:sz="0" w:space="0" w:color="auto"/>
            <w:bottom w:val="none" w:sz="0" w:space="0" w:color="auto"/>
            <w:right w:val="none" w:sz="0" w:space="0" w:color="auto"/>
          </w:divBdr>
        </w:div>
        <w:div w:id="563413170">
          <w:marLeft w:val="0"/>
          <w:marRight w:val="0"/>
          <w:marTop w:val="0"/>
          <w:marBottom w:val="0"/>
          <w:divBdr>
            <w:top w:val="none" w:sz="0" w:space="0" w:color="auto"/>
            <w:left w:val="none" w:sz="0" w:space="0" w:color="auto"/>
            <w:bottom w:val="none" w:sz="0" w:space="0" w:color="auto"/>
            <w:right w:val="none" w:sz="0" w:space="0" w:color="auto"/>
          </w:divBdr>
        </w:div>
        <w:div w:id="752119108">
          <w:marLeft w:val="0"/>
          <w:marRight w:val="0"/>
          <w:marTop w:val="0"/>
          <w:marBottom w:val="0"/>
          <w:divBdr>
            <w:top w:val="none" w:sz="0" w:space="0" w:color="auto"/>
            <w:left w:val="none" w:sz="0" w:space="0" w:color="auto"/>
            <w:bottom w:val="none" w:sz="0" w:space="0" w:color="auto"/>
            <w:right w:val="none" w:sz="0" w:space="0" w:color="auto"/>
          </w:divBdr>
        </w:div>
        <w:div w:id="817112478">
          <w:marLeft w:val="0"/>
          <w:marRight w:val="0"/>
          <w:marTop w:val="0"/>
          <w:marBottom w:val="0"/>
          <w:divBdr>
            <w:top w:val="none" w:sz="0" w:space="0" w:color="auto"/>
            <w:left w:val="none" w:sz="0" w:space="0" w:color="auto"/>
            <w:bottom w:val="none" w:sz="0" w:space="0" w:color="auto"/>
            <w:right w:val="none" w:sz="0" w:space="0" w:color="auto"/>
          </w:divBdr>
        </w:div>
        <w:div w:id="1597981107">
          <w:marLeft w:val="0"/>
          <w:marRight w:val="0"/>
          <w:marTop w:val="0"/>
          <w:marBottom w:val="0"/>
          <w:divBdr>
            <w:top w:val="none" w:sz="0" w:space="0" w:color="auto"/>
            <w:left w:val="none" w:sz="0" w:space="0" w:color="auto"/>
            <w:bottom w:val="none" w:sz="0" w:space="0" w:color="auto"/>
            <w:right w:val="none" w:sz="0" w:space="0" w:color="auto"/>
          </w:divBdr>
        </w:div>
        <w:div w:id="1757937688">
          <w:marLeft w:val="0"/>
          <w:marRight w:val="0"/>
          <w:marTop w:val="0"/>
          <w:marBottom w:val="0"/>
          <w:divBdr>
            <w:top w:val="none" w:sz="0" w:space="0" w:color="auto"/>
            <w:left w:val="none" w:sz="0" w:space="0" w:color="auto"/>
            <w:bottom w:val="none" w:sz="0" w:space="0" w:color="auto"/>
            <w:right w:val="none" w:sz="0" w:space="0" w:color="auto"/>
          </w:divBdr>
        </w:div>
        <w:div w:id="1844661209">
          <w:marLeft w:val="0"/>
          <w:marRight w:val="0"/>
          <w:marTop w:val="0"/>
          <w:marBottom w:val="0"/>
          <w:divBdr>
            <w:top w:val="none" w:sz="0" w:space="0" w:color="auto"/>
            <w:left w:val="none" w:sz="0" w:space="0" w:color="auto"/>
            <w:bottom w:val="none" w:sz="0" w:space="0" w:color="auto"/>
            <w:right w:val="none" w:sz="0" w:space="0" w:color="auto"/>
          </w:divBdr>
        </w:div>
        <w:div w:id="1916014169">
          <w:marLeft w:val="0"/>
          <w:marRight w:val="0"/>
          <w:marTop w:val="0"/>
          <w:marBottom w:val="0"/>
          <w:divBdr>
            <w:top w:val="none" w:sz="0" w:space="0" w:color="auto"/>
            <w:left w:val="none" w:sz="0" w:space="0" w:color="auto"/>
            <w:bottom w:val="none" w:sz="0" w:space="0" w:color="auto"/>
            <w:right w:val="none" w:sz="0" w:space="0" w:color="auto"/>
          </w:divBdr>
        </w:div>
        <w:div w:id="1991054694">
          <w:marLeft w:val="0"/>
          <w:marRight w:val="0"/>
          <w:marTop w:val="0"/>
          <w:marBottom w:val="0"/>
          <w:divBdr>
            <w:top w:val="none" w:sz="0" w:space="0" w:color="auto"/>
            <w:left w:val="none" w:sz="0" w:space="0" w:color="auto"/>
            <w:bottom w:val="none" w:sz="0" w:space="0" w:color="auto"/>
            <w:right w:val="none" w:sz="0" w:space="0" w:color="auto"/>
          </w:divBdr>
        </w:div>
      </w:divsChild>
    </w:div>
    <w:div w:id="1005283915">
      <w:bodyDiv w:val="1"/>
      <w:marLeft w:val="0"/>
      <w:marRight w:val="0"/>
      <w:marTop w:val="0"/>
      <w:marBottom w:val="0"/>
      <w:divBdr>
        <w:top w:val="none" w:sz="0" w:space="0" w:color="auto"/>
        <w:left w:val="none" w:sz="0" w:space="0" w:color="auto"/>
        <w:bottom w:val="none" w:sz="0" w:space="0" w:color="auto"/>
        <w:right w:val="none" w:sz="0" w:space="0" w:color="auto"/>
      </w:divBdr>
    </w:div>
    <w:div w:id="1022245563">
      <w:bodyDiv w:val="1"/>
      <w:marLeft w:val="0"/>
      <w:marRight w:val="0"/>
      <w:marTop w:val="0"/>
      <w:marBottom w:val="0"/>
      <w:divBdr>
        <w:top w:val="none" w:sz="0" w:space="0" w:color="auto"/>
        <w:left w:val="none" w:sz="0" w:space="0" w:color="auto"/>
        <w:bottom w:val="none" w:sz="0" w:space="0" w:color="auto"/>
        <w:right w:val="none" w:sz="0" w:space="0" w:color="auto"/>
      </w:divBdr>
    </w:div>
    <w:div w:id="1033044829">
      <w:bodyDiv w:val="1"/>
      <w:marLeft w:val="0"/>
      <w:marRight w:val="0"/>
      <w:marTop w:val="0"/>
      <w:marBottom w:val="0"/>
      <w:divBdr>
        <w:top w:val="none" w:sz="0" w:space="0" w:color="auto"/>
        <w:left w:val="none" w:sz="0" w:space="0" w:color="auto"/>
        <w:bottom w:val="none" w:sz="0" w:space="0" w:color="auto"/>
        <w:right w:val="none" w:sz="0" w:space="0" w:color="auto"/>
      </w:divBdr>
      <w:divsChild>
        <w:div w:id="67507820">
          <w:marLeft w:val="0"/>
          <w:marRight w:val="0"/>
          <w:marTop w:val="0"/>
          <w:marBottom w:val="0"/>
          <w:divBdr>
            <w:top w:val="none" w:sz="0" w:space="0" w:color="auto"/>
            <w:left w:val="none" w:sz="0" w:space="0" w:color="auto"/>
            <w:bottom w:val="none" w:sz="0" w:space="0" w:color="auto"/>
            <w:right w:val="none" w:sz="0" w:space="0" w:color="auto"/>
          </w:divBdr>
        </w:div>
        <w:div w:id="304165270">
          <w:marLeft w:val="0"/>
          <w:marRight w:val="0"/>
          <w:marTop w:val="0"/>
          <w:marBottom w:val="0"/>
          <w:divBdr>
            <w:top w:val="none" w:sz="0" w:space="0" w:color="auto"/>
            <w:left w:val="none" w:sz="0" w:space="0" w:color="auto"/>
            <w:bottom w:val="none" w:sz="0" w:space="0" w:color="auto"/>
            <w:right w:val="none" w:sz="0" w:space="0" w:color="auto"/>
          </w:divBdr>
        </w:div>
        <w:div w:id="311566558">
          <w:marLeft w:val="0"/>
          <w:marRight w:val="0"/>
          <w:marTop w:val="0"/>
          <w:marBottom w:val="0"/>
          <w:divBdr>
            <w:top w:val="none" w:sz="0" w:space="0" w:color="auto"/>
            <w:left w:val="none" w:sz="0" w:space="0" w:color="auto"/>
            <w:bottom w:val="none" w:sz="0" w:space="0" w:color="auto"/>
            <w:right w:val="none" w:sz="0" w:space="0" w:color="auto"/>
          </w:divBdr>
        </w:div>
        <w:div w:id="465516523">
          <w:marLeft w:val="0"/>
          <w:marRight w:val="0"/>
          <w:marTop w:val="0"/>
          <w:marBottom w:val="0"/>
          <w:divBdr>
            <w:top w:val="none" w:sz="0" w:space="0" w:color="auto"/>
            <w:left w:val="none" w:sz="0" w:space="0" w:color="auto"/>
            <w:bottom w:val="none" w:sz="0" w:space="0" w:color="auto"/>
            <w:right w:val="none" w:sz="0" w:space="0" w:color="auto"/>
          </w:divBdr>
        </w:div>
        <w:div w:id="692878405">
          <w:marLeft w:val="0"/>
          <w:marRight w:val="0"/>
          <w:marTop w:val="0"/>
          <w:marBottom w:val="0"/>
          <w:divBdr>
            <w:top w:val="none" w:sz="0" w:space="0" w:color="auto"/>
            <w:left w:val="none" w:sz="0" w:space="0" w:color="auto"/>
            <w:bottom w:val="none" w:sz="0" w:space="0" w:color="auto"/>
            <w:right w:val="none" w:sz="0" w:space="0" w:color="auto"/>
          </w:divBdr>
        </w:div>
        <w:div w:id="809444215">
          <w:marLeft w:val="0"/>
          <w:marRight w:val="0"/>
          <w:marTop w:val="0"/>
          <w:marBottom w:val="0"/>
          <w:divBdr>
            <w:top w:val="none" w:sz="0" w:space="0" w:color="auto"/>
            <w:left w:val="none" w:sz="0" w:space="0" w:color="auto"/>
            <w:bottom w:val="none" w:sz="0" w:space="0" w:color="auto"/>
            <w:right w:val="none" w:sz="0" w:space="0" w:color="auto"/>
          </w:divBdr>
        </w:div>
        <w:div w:id="867716815">
          <w:marLeft w:val="0"/>
          <w:marRight w:val="0"/>
          <w:marTop w:val="0"/>
          <w:marBottom w:val="0"/>
          <w:divBdr>
            <w:top w:val="none" w:sz="0" w:space="0" w:color="auto"/>
            <w:left w:val="none" w:sz="0" w:space="0" w:color="auto"/>
            <w:bottom w:val="none" w:sz="0" w:space="0" w:color="auto"/>
            <w:right w:val="none" w:sz="0" w:space="0" w:color="auto"/>
          </w:divBdr>
        </w:div>
        <w:div w:id="897471223">
          <w:marLeft w:val="0"/>
          <w:marRight w:val="0"/>
          <w:marTop w:val="0"/>
          <w:marBottom w:val="0"/>
          <w:divBdr>
            <w:top w:val="none" w:sz="0" w:space="0" w:color="auto"/>
            <w:left w:val="none" w:sz="0" w:space="0" w:color="auto"/>
            <w:bottom w:val="none" w:sz="0" w:space="0" w:color="auto"/>
            <w:right w:val="none" w:sz="0" w:space="0" w:color="auto"/>
          </w:divBdr>
        </w:div>
        <w:div w:id="1115368410">
          <w:marLeft w:val="0"/>
          <w:marRight w:val="0"/>
          <w:marTop w:val="0"/>
          <w:marBottom w:val="0"/>
          <w:divBdr>
            <w:top w:val="none" w:sz="0" w:space="0" w:color="auto"/>
            <w:left w:val="none" w:sz="0" w:space="0" w:color="auto"/>
            <w:bottom w:val="none" w:sz="0" w:space="0" w:color="auto"/>
            <w:right w:val="none" w:sz="0" w:space="0" w:color="auto"/>
          </w:divBdr>
        </w:div>
        <w:div w:id="1164277773">
          <w:marLeft w:val="0"/>
          <w:marRight w:val="0"/>
          <w:marTop w:val="0"/>
          <w:marBottom w:val="0"/>
          <w:divBdr>
            <w:top w:val="none" w:sz="0" w:space="0" w:color="auto"/>
            <w:left w:val="none" w:sz="0" w:space="0" w:color="auto"/>
            <w:bottom w:val="none" w:sz="0" w:space="0" w:color="auto"/>
            <w:right w:val="none" w:sz="0" w:space="0" w:color="auto"/>
          </w:divBdr>
        </w:div>
        <w:div w:id="1252810697">
          <w:marLeft w:val="0"/>
          <w:marRight w:val="0"/>
          <w:marTop w:val="0"/>
          <w:marBottom w:val="0"/>
          <w:divBdr>
            <w:top w:val="none" w:sz="0" w:space="0" w:color="auto"/>
            <w:left w:val="none" w:sz="0" w:space="0" w:color="auto"/>
            <w:bottom w:val="none" w:sz="0" w:space="0" w:color="auto"/>
            <w:right w:val="none" w:sz="0" w:space="0" w:color="auto"/>
          </w:divBdr>
        </w:div>
        <w:div w:id="1336960304">
          <w:marLeft w:val="0"/>
          <w:marRight w:val="0"/>
          <w:marTop w:val="0"/>
          <w:marBottom w:val="0"/>
          <w:divBdr>
            <w:top w:val="none" w:sz="0" w:space="0" w:color="auto"/>
            <w:left w:val="none" w:sz="0" w:space="0" w:color="auto"/>
            <w:bottom w:val="none" w:sz="0" w:space="0" w:color="auto"/>
            <w:right w:val="none" w:sz="0" w:space="0" w:color="auto"/>
          </w:divBdr>
        </w:div>
        <w:div w:id="1344013971">
          <w:marLeft w:val="0"/>
          <w:marRight w:val="0"/>
          <w:marTop w:val="0"/>
          <w:marBottom w:val="0"/>
          <w:divBdr>
            <w:top w:val="none" w:sz="0" w:space="0" w:color="auto"/>
            <w:left w:val="none" w:sz="0" w:space="0" w:color="auto"/>
            <w:bottom w:val="none" w:sz="0" w:space="0" w:color="auto"/>
            <w:right w:val="none" w:sz="0" w:space="0" w:color="auto"/>
          </w:divBdr>
        </w:div>
        <w:div w:id="1468546751">
          <w:marLeft w:val="0"/>
          <w:marRight w:val="0"/>
          <w:marTop w:val="0"/>
          <w:marBottom w:val="0"/>
          <w:divBdr>
            <w:top w:val="none" w:sz="0" w:space="0" w:color="auto"/>
            <w:left w:val="none" w:sz="0" w:space="0" w:color="auto"/>
            <w:bottom w:val="none" w:sz="0" w:space="0" w:color="auto"/>
            <w:right w:val="none" w:sz="0" w:space="0" w:color="auto"/>
          </w:divBdr>
        </w:div>
        <w:div w:id="1517572304">
          <w:marLeft w:val="0"/>
          <w:marRight w:val="0"/>
          <w:marTop w:val="0"/>
          <w:marBottom w:val="0"/>
          <w:divBdr>
            <w:top w:val="none" w:sz="0" w:space="0" w:color="auto"/>
            <w:left w:val="none" w:sz="0" w:space="0" w:color="auto"/>
            <w:bottom w:val="none" w:sz="0" w:space="0" w:color="auto"/>
            <w:right w:val="none" w:sz="0" w:space="0" w:color="auto"/>
          </w:divBdr>
        </w:div>
        <w:div w:id="1710648760">
          <w:marLeft w:val="0"/>
          <w:marRight w:val="0"/>
          <w:marTop w:val="0"/>
          <w:marBottom w:val="0"/>
          <w:divBdr>
            <w:top w:val="none" w:sz="0" w:space="0" w:color="auto"/>
            <w:left w:val="none" w:sz="0" w:space="0" w:color="auto"/>
            <w:bottom w:val="none" w:sz="0" w:space="0" w:color="auto"/>
            <w:right w:val="none" w:sz="0" w:space="0" w:color="auto"/>
          </w:divBdr>
        </w:div>
        <w:div w:id="1988125724">
          <w:marLeft w:val="0"/>
          <w:marRight w:val="0"/>
          <w:marTop w:val="0"/>
          <w:marBottom w:val="0"/>
          <w:divBdr>
            <w:top w:val="none" w:sz="0" w:space="0" w:color="auto"/>
            <w:left w:val="none" w:sz="0" w:space="0" w:color="auto"/>
            <w:bottom w:val="none" w:sz="0" w:space="0" w:color="auto"/>
            <w:right w:val="none" w:sz="0" w:space="0" w:color="auto"/>
          </w:divBdr>
        </w:div>
        <w:div w:id="2031489644">
          <w:marLeft w:val="0"/>
          <w:marRight w:val="0"/>
          <w:marTop w:val="0"/>
          <w:marBottom w:val="0"/>
          <w:divBdr>
            <w:top w:val="none" w:sz="0" w:space="0" w:color="auto"/>
            <w:left w:val="none" w:sz="0" w:space="0" w:color="auto"/>
            <w:bottom w:val="none" w:sz="0" w:space="0" w:color="auto"/>
            <w:right w:val="none" w:sz="0" w:space="0" w:color="auto"/>
          </w:divBdr>
        </w:div>
      </w:divsChild>
    </w:div>
    <w:div w:id="1041511913">
      <w:bodyDiv w:val="1"/>
      <w:marLeft w:val="0"/>
      <w:marRight w:val="0"/>
      <w:marTop w:val="0"/>
      <w:marBottom w:val="0"/>
      <w:divBdr>
        <w:top w:val="none" w:sz="0" w:space="0" w:color="auto"/>
        <w:left w:val="none" w:sz="0" w:space="0" w:color="auto"/>
        <w:bottom w:val="none" w:sz="0" w:space="0" w:color="auto"/>
        <w:right w:val="none" w:sz="0" w:space="0" w:color="auto"/>
      </w:divBdr>
      <w:divsChild>
        <w:div w:id="752624297">
          <w:marLeft w:val="0"/>
          <w:marRight w:val="0"/>
          <w:marTop w:val="0"/>
          <w:marBottom w:val="0"/>
          <w:divBdr>
            <w:top w:val="none" w:sz="0" w:space="0" w:color="auto"/>
            <w:left w:val="none" w:sz="0" w:space="0" w:color="auto"/>
            <w:bottom w:val="none" w:sz="0" w:space="0" w:color="auto"/>
            <w:right w:val="none" w:sz="0" w:space="0" w:color="auto"/>
          </w:divBdr>
        </w:div>
      </w:divsChild>
    </w:div>
    <w:div w:id="1048147599">
      <w:bodyDiv w:val="1"/>
      <w:marLeft w:val="0"/>
      <w:marRight w:val="0"/>
      <w:marTop w:val="0"/>
      <w:marBottom w:val="0"/>
      <w:divBdr>
        <w:top w:val="none" w:sz="0" w:space="0" w:color="auto"/>
        <w:left w:val="none" w:sz="0" w:space="0" w:color="auto"/>
        <w:bottom w:val="none" w:sz="0" w:space="0" w:color="auto"/>
        <w:right w:val="none" w:sz="0" w:space="0" w:color="auto"/>
      </w:divBdr>
      <w:divsChild>
        <w:div w:id="69036771">
          <w:marLeft w:val="1166"/>
          <w:marRight w:val="0"/>
          <w:marTop w:val="0"/>
          <w:marBottom w:val="0"/>
          <w:divBdr>
            <w:top w:val="none" w:sz="0" w:space="0" w:color="auto"/>
            <w:left w:val="none" w:sz="0" w:space="0" w:color="auto"/>
            <w:bottom w:val="none" w:sz="0" w:space="0" w:color="auto"/>
            <w:right w:val="none" w:sz="0" w:space="0" w:color="auto"/>
          </w:divBdr>
        </w:div>
        <w:div w:id="709232589">
          <w:marLeft w:val="1166"/>
          <w:marRight w:val="0"/>
          <w:marTop w:val="0"/>
          <w:marBottom w:val="0"/>
          <w:divBdr>
            <w:top w:val="none" w:sz="0" w:space="0" w:color="auto"/>
            <w:left w:val="none" w:sz="0" w:space="0" w:color="auto"/>
            <w:bottom w:val="none" w:sz="0" w:space="0" w:color="auto"/>
            <w:right w:val="none" w:sz="0" w:space="0" w:color="auto"/>
          </w:divBdr>
        </w:div>
        <w:div w:id="1099790762">
          <w:marLeft w:val="446"/>
          <w:marRight w:val="0"/>
          <w:marTop w:val="0"/>
          <w:marBottom w:val="0"/>
          <w:divBdr>
            <w:top w:val="none" w:sz="0" w:space="0" w:color="auto"/>
            <w:left w:val="none" w:sz="0" w:space="0" w:color="auto"/>
            <w:bottom w:val="none" w:sz="0" w:space="0" w:color="auto"/>
            <w:right w:val="none" w:sz="0" w:space="0" w:color="auto"/>
          </w:divBdr>
        </w:div>
        <w:div w:id="1128279575">
          <w:marLeft w:val="1166"/>
          <w:marRight w:val="0"/>
          <w:marTop w:val="0"/>
          <w:marBottom w:val="0"/>
          <w:divBdr>
            <w:top w:val="none" w:sz="0" w:space="0" w:color="auto"/>
            <w:left w:val="none" w:sz="0" w:space="0" w:color="auto"/>
            <w:bottom w:val="none" w:sz="0" w:space="0" w:color="auto"/>
            <w:right w:val="none" w:sz="0" w:space="0" w:color="auto"/>
          </w:divBdr>
        </w:div>
        <w:div w:id="1192838311">
          <w:marLeft w:val="1166"/>
          <w:marRight w:val="0"/>
          <w:marTop w:val="0"/>
          <w:marBottom w:val="0"/>
          <w:divBdr>
            <w:top w:val="none" w:sz="0" w:space="0" w:color="auto"/>
            <w:left w:val="none" w:sz="0" w:space="0" w:color="auto"/>
            <w:bottom w:val="none" w:sz="0" w:space="0" w:color="auto"/>
            <w:right w:val="none" w:sz="0" w:space="0" w:color="auto"/>
          </w:divBdr>
        </w:div>
        <w:div w:id="1303192405">
          <w:marLeft w:val="1166"/>
          <w:marRight w:val="0"/>
          <w:marTop w:val="0"/>
          <w:marBottom w:val="0"/>
          <w:divBdr>
            <w:top w:val="none" w:sz="0" w:space="0" w:color="auto"/>
            <w:left w:val="none" w:sz="0" w:space="0" w:color="auto"/>
            <w:bottom w:val="none" w:sz="0" w:space="0" w:color="auto"/>
            <w:right w:val="none" w:sz="0" w:space="0" w:color="auto"/>
          </w:divBdr>
        </w:div>
        <w:div w:id="1792940895">
          <w:marLeft w:val="446"/>
          <w:marRight w:val="0"/>
          <w:marTop w:val="0"/>
          <w:marBottom w:val="0"/>
          <w:divBdr>
            <w:top w:val="none" w:sz="0" w:space="0" w:color="auto"/>
            <w:left w:val="none" w:sz="0" w:space="0" w:color="auto"/>
            <w:bottom w:val="none" w:sz="0" w:space="0" w:color="auto"/>
            <w:right w:val="none" w:sz="0" w:space="0" w:color="auto"/>
          </w:divBdr>
        </w:div>
        <w:div w:id="1985045977">
          <w:marLeft w:val="1166"/>
          <w:marRight w:val="0"/>
          <w:marTop w:val="0"/>
          <w:marBottom w:val="0"/>
          <w:divBdr>
            <w:top w:val="none" w:sz="0" w:space="0" w:color="auto"/>
            <w:left w:val="none" w:sz="0" w:space="0" w:color="auto"/>
            <w:bottom w:val="none" w:sz="0" w:space="0" w:color="auto"/>
            <w:right w:val="none" w:sz="0" w:space="0" w:color="auto"/>
          </w:divBdr>
        </w:div>
      </w:divsChild>
    </w:div>
    <w:div w:id="1055549091">
      <w:bodyDiv w:val="1"/>
      <w:marLeft w:val="0"/>
      <w:marRight w:val="0"/>
      <w:marTop w:val="0"/>
      <w:marBottom w:val="0"/>
      <w:divBdr>
        <w:top w:val="none" w:sz="0" w:space="0" w:color="auto"/>
        <w:left w:val="none" w:sz="0" w:space="0" w:color="auto"/>
        <w:bottom w:val="none" w:sz="0" w:space="0" w:color="auto"/>
        <w:right w:val="none" w:sz="0" w:space="0" w:color="auto"/>
      </w:divBdr>
      <w:divsChild>
        <w:div w:id="43454904">
          <w:marLeft w:val="1166"/>
          <w:marRight w:val="0"/>
          <w:marTop w:val="0"/>
          <w:marBottom w:val="0"/>
          <w:divBdr>
            <w:top w:val="none" w:sz="0" w:space="0" w:color="auto"/>
            <w:left w:val="none" w:sz="0" w:space="0" w:color="auto"/>
            <w:bottom w:val="none" w:sz="0" w:space="0" w:color="auto"/>
            <w:right w:val="none" w:sz="0" w:space="0" w:color="auto"/>
          </w:divBdr>
        </w:div>
        <w:div w:id="47841845">
          <w:marLeft w:val="1166"/>
          <w:marRight w:val="0"/>
          <w:marTop w:val="0"/>
          <w:marBottom w:val="0"/>
          <w:divBdr>
            <w:top w:val="none" w:sz="0" w:space="0" w:color="auto"/>
            <w:left w:val="none" w:sz="0" w:space="0" w:color="auto"/>
            <w:bottom w:val="none" w:sz="0" w:space="0" w:color="auto"/>
            <w:right w:val="none" w:sz="0" w:space="0" w:color="auto"/>
          </w:divBdr>
        </w:div>
        <w:div w:id="57289912">
          <w:marLeft w:val="446"/>
          <w:marRight w:val="0"/>
          <w:marTop w:val="0"/>
          <w:marBottom w:val="0"/>
          <w:divBdr>
            <w:top w:val="none" w:sz="0" w:space="0" w:color="auto"/>
            <w:left w:val="none" w:sz="0" w:space="0" w:color="auto"/>
            <w:bottom w:val="none" w:sz="0" w:space="0" w:color="auto"/>
            <w:right w:val="none" w:sz="0" w:space="0" w:color="auto"/>
          </w:divBdr>
        </w:div>
        <w:div w:id="296878127">
          <w:marLeft w:val="1166"/>
          <w:marRight w:val="0"/>
          <w:marTop w:val="0"/>
          <w:marBottom w:val="0"/>
          <w:divBdr>
            <w:top w:val="none" w:sz="0" w:space="0" w:color="auto"/>
            <w:left w:val="none" w:sz="0" w:space="0" w:color="auto"/>
            <w:bottom w:val="none" w:sz="0" w:space="0" w:color="auto"/>
            <w:right w:val="none" w:sz="0" w:space="0" w:color="auto"/>
          </w:divBdr>
        </w:div>
        <w:div w:id="738164308">
          <w:marLeft w:val="1166"/>
          <w:marRight w:val="0"/>
          <w:marTop w:val="0"/>
          <w:marBottom w:val="0"/>
          <w:divBdr>
            <w:top w:val="none" w:sz="0" w:space="0" w:color="auto"/>
            <w:left w:val="none" w:sz="0" w:space="0" w:color="auto"/>
            <w:bottom w:val="none" w:sz="0" w:space="0" w:color="auto"/>
            <w:right w:val="none" w:sz="0" w:space="0" w:color="auto"/>
          </w:divBdr>
        </w:div>
        <w:div w:id="775828229">
          <w:marLeft w:val="446"/>
          <w:marRight w:val="0"/>
          <w:marTop w:val="0"/>
          <w:marBottom w:val="0"/>
          <w:divBdr>
            <w:top w:val="none" w:sz="0" w:space="0" w:color="auto"/>
            <w:left w:val="none" w:sz="0" w:space="0" w:color="auto"/>
            <w:bottom w:val="none" w:sz="0" w:space="0" w:color="auto"/>
            <w:right w:val="none" w:sz="0" w:space="0" w:color="auto"/>
          </w:divBdr>
        </w:div>
        <w:div w:id="1160804174">
          <w:marLeft w:val="1166"/>
          <w:marRight w:val="0"/>
          <w:marTop w:val="0"/>
          <w:marBottom w:val="0"/>
          <w:divBdr>
            <w:top w:val="none" w:sz="0" w:space="0" w:color="auto"/>
            <w:left w:val="none" w:sz="0" w:space="0" w:color="auto"/>
            <w:bottom w:val="none" w:sz="0" w:space="0" w:color="auto"/>
            <w:right w:val="none" w:sz="0" w:space="0" w:color="auto"/>
          </w:divBdr>
        </w:div>
        <w:div w:id="1235049230">
          <w:marLeft w:val="1166"/>
          <w:marRight w:val="0"/>
          <w:marTop w:val="0"/>
          <w:marBottom w:val="0"/>
          <w:divBdr>
            <w:top w:val="none" w:sz="0" w:space="0" w:color="auto"/>
            <w:left w:val="none" w:sz="0" w:space="0" w:color="auto"/>
            <w:bottom w:val="none" w:sz="0" w:space="0" w:color="auto"/>
            <w:right w:val="none" w:sz="0" w:space="0" w:color="auto"/>
          </w:divBdr>
        </w:div>
        <w:div w:id="1524592147">
          <w:marLeft w:val="1166"/>
          <w:marRight w:val="0"/>
          <w:marTop w:val="0"/>
          <w:marBottom w:val="0"/>
          <w:divBdr>
            <w:top w:val="none" w:sz="0" w:space="0" w:color="auto"/>
            <w:left w:val="none" w:sz="0" w:space="0" w:color="auto"/>
            <w:bottom w:val="none" w:sz="0" w:space="0" w:color="auto"/>
            <w:right w:val="none" w:sz="0" w:space="0" w:color="auto"/>
          </w:divBdr>
        </w:div>
        <w:div w:id="1846629555">
          <w:marLeft w:val="1166"/>
          <w:marRight w:val="0"/>
          <w:marTop w:val="0"/>
          <w:marBottom w:val="0"/>
          <w:divBdr>
            <w:top w:val="none" w:sz="0" w:space="0" w:color="auto"/>
            <w:left w:val="none" w:sz="0" w:space="0" w:color="auto"/>
            <w:bottom w:val="none" w:sz="0" w:space="0" w:color="auto"/>
            <w:right w:val="none" w:sz="0" w:space="0" w:color="auto"/>
          </w:divBdr>
        </w:div>
      </w:divsChild>
    </w:div>
    <w:div w:id="1064717024">
      <w:bodyDiv w:val="1"/>
      <w:marLeft w:val="0"/>
      <w:marRight w:val="0"/>
      <w:marTop w:val="0"/>
      <w:marBottom w:val="0"/>
      <w:divBdr>
        <w:top w:val="none" w:sz="0" w:space="0" w:color="auto"/>
        <w:left w:val="none" w:sz="0" w:space="0" w:color="auto"/>
        <w:bottom w:val="none" w:sz="0" w:space="0" w:color="auto"/>
        <w:right w:val="none" w:sz="0" w:space="0" w:color="auto"/>
      </w:divBdr>
    </w:div>
    <w:div w:id="1099447117">
      <w:bodyDiv w:val="1"/>
      <w:marLeft w:val="0"/>
      <w:marRight w:val="0"/>
      <w:marTop w:val="0"/>
      <w:marBottom w:val="0"/>
      <w:divBdr>
        <w:top w:val="none" w:sz="0" w:space="0" w:color="auto"/>
        <w:left w:val="none" w:sz="0" w:space="0" w:color="auto"/>
        <w:bottom w:val="none" w:sz="0" w:space="0" w:color="auto"/>
        <w:right w:val="none" w:sz="0" w:space="0" w:color="auto"/>
      </w:divBdr>
      <w:divsChild>
        <w:div w:id="14622537">
          <w:marLeft w:val="0"/>
          <w:marRight w:val="0"/>
          <w:marTop w:val="0"/>
          <w:marBottom w:val="0"/>
          <w:divBdr>
            <w:top w:val="none" w:sz="0" w:space="0" w:color="auto"/>
            <w:left w:val="none" w:sz="0" w:space="0" w:color="auto"/>
            <w:bottom w:val="none" w:sz="0" w:space="0" w:color="auto"/>
            <w:right w:val="none" w:sz="0" w:space="0" w:color="auto"/>
          </w:divBdr>
        </w:div>
        <w:div w:id="182675918">
          <w:marLeft w:val="0"/>
          <w:marRight w:val="0"/>
          <w:marTop w:val="0"/>
          <w:marBottom w:val="0"/>
          <w:divBdr>
            <w:top w:val="none" w:sz="0" w:space="0" w:color="auto"/>
            <w:left w:val="none" w:sz="0" w:space="0" w:color="auto"/>
            <w:bottom w:val="none" w:sz="0" w:space="0" w:color="auto"/>
            <w:right w:val="none" w:sz="0" w:space="0" w:color="auto"/>
          </w:divBdr>
        </w:div>
        <w:div w:id="250820631">
          <w:marLeft w:val="0"/>
          <w:marRight w:val="0"/>
          <w:marTop w:val="0"/>
          <w:marBottom w:val="0"/>
          <w:divBdr>
            <w:top w:val="none" w:sz="0" w:space="0" w:color="auto"/>
            <w:left w:val="none" w:sz="0" w:space="0" w:color="auto"/>
            <w:bottom w:val="none" w:sz="0" w:space="0" w:color="auto"/>
            <w:right w:val="none" w:sz="0" w:space="0" w:color="auto"/>
          </w:divBdr>
        </w:div>
        <w:div w:id="364136956">
          <w:marLeft w:val="0"/>
          <w:marRight w:val="0"/>
          <w:marTop w:val="0"/>
          <w:marBottom w:val="0"/>
          <w:divBdr>
            <w:top w:val="none" w:sz="0" w:space="0" w:color="auto"/>
            <w:left w:val="none" w:sz="0" w:space="0" w:color="auto"/>
            <w:bottom w:val="none" w:sz="0" w:space="0" w:color="auto"/>
            <w:right w:val="none" w:sz="0" w:space="0" w:color="auto"/>
          </w:divBdr>
        </w:div>
        <w:div w:id="375199251">
          <w:marLeft w:val="0"/>
          <w:marRight w:val="0"/>
          <w:marTop w:val="0"/>
          <w:marBottom w:val="0"/>
          <w:divBdr>
            <w:top w:val="none" w:sz="0" w:space="0" w:color="auto"/>
            <w:left w:val="none" w:sz="0" w:space="0" w:color="auto"/>
            <w:bottom w:val="none" w:sz="0" w:space="0" w:color="auto"/>
            <w:right w:val="none" w:sz="0" w:space="0" w:color="auto"/>
          </w:divBdr>
        </w:div>
        <w:div w:id="391538100">
          <w:marLeft w:val="0"/>
          <w:marRight w:val="0"/>
          <w:marTop w:val="0"/>
          <w:marBottom w:val="0"/>
          <w:divBdr>
            <w:top w:val="none" w:sz="0" w:space="0" w:color="auto"/>
            <w:left w:val="none" w:sz="0" w:space="0" w:color="auto"/>
            <w:bottom w:val="none" w:sz="0" w:space="0" w:color="auto"/>
            <w:right w:val="none" w:sz="0" w:space="0" w:color="auto"/>
          </w:divBdr>
        </w:div>
        <w:div w:id="450828732">
          <w:marLeft w:val="0"/>
          <w:marRight w:val="0"/>
          <w:marTop w:val="0"/>
          <w:marBottom w:val="0"/>
          <w:divBdr>
            <w:top w:val="none" w:sz="0" w:space="0" w:color="auto"/>
            <w:left w:val="none" w:sz="0" w:space="0" w:color="auto"/>
            <w:bottom w:val="none" w:sz="0" w:space="0" w:color="auto"/>
            <w:right w:val="none" w:sz="0" w:space="0" w:color="auto"/>
          </w:divBdr>
        </w:div>
        <w:div w:id="512885585">
          <w:marLeft w:val="0"/>
          <w:marRight w:val="0"/>
          <w:marTop w:val="0"/>
          <w:marBottom w:val="0"/>
          <w:divBdr>
            <w:top w:val="none" w:sz="0" w:space="0" w:color="auto"/>
            <w:left w:val="none" w:sz="0" w:space="0" w:color="auto"/>
            <w:bottom w:val="none" w:sz="0" w:space="0" w:color="auto"/>
            <w:right w:val="none" w:sz="0" w:space="0" w:color="auto"/>
          </w:divBdr>
        </w:div>
        <w:div w:id="643313759">
          <w:marLeft w:val="0"/>
          <w:marRight w:val="0"/>
          <w:marTop w:val="0"/>
          <w:marBottom w:val="0"/>
          <w:divBdr>
            <w:top w:val="none" w:sz="0" w:space="0" w:color="auto"/>
            <w:left w:val="none" w:sz="0" w:space="0" w:color="auto"/>
            <w:bottom w:val="none" w:sz="0" w:space="0" w:color="auto"/>
            <w:right w:val="none" w:sz="0" w:space="0" w:color="auto"/>
          </w:divBdr>
        </w:div>
        <w:div w:id="818499777">
          <w:marLeft w:val="0"/>
          <w:marRight w:val="0"/>
          <w:marTop w:val="0"/>
          <w:marBottom w:val="0"/>
          <w:divBdr>
            <w:top w:val="none" w:sz="0" w:space="0" w:color="auto"/>
            <w:left w:val="none" w:sz="0" w:space="0" w:color="auto"/>
            <w:bottom w:val="none" w:sz="0" w:space="0" w:color="auto"/>
            <w:right w:val="none" w:sz="0" w:space="0" w:color="auto"/>
          </w:divBdr>
        </w:div>
        <w:div w:id="952980097">
          <w:marLeft w:val="0"/>
          <w:marRight w:val="0"/>
          <w:marTop w:val="0"/>
          <w:marBottom w:val="0"/>
          <w:divBdr>
            <w:top w:val="none" w:sz="0" w:space="0" w:color="auto"/>
            <w:left w:val="none" w:sz="0" w:space="0" w:color="auto"/>
            <w:bottom w:val="none" w:sz="0" w:space="0" w:color="auto"/>
            <w:right w:val="none" w:sz="0" w:space="0" w:color="auto"/>
          </w:divBdr>
        </w:div>
        <w:div w:id="989987128">
          <w:marLeft w:val="0"/>
          <w:marRight w:val="0"/>
          <w:marTop w:val="0"/>
          <w:marBottom w:val="0"/>
          <w:divBdr>
            <w:top w:val="none" w:sz="0" w:space="0" w:color="auto"/>
            <w:left w:val="none" w:sz="0" w:space="0" w:color="auto"/>
            <w:bottom w:val="none" w:sz="0" w:space="0" w:color="auto"/>
            <w:right w:val="none" w:sz="0" w:space="0" w:color="auto"/>
          </w:divBdr>
        </w:div>
        <w:div w:id="1035471099">
          <w:marLeft w:val="0"/>
          <w:marRight w:val="0"/>
          <w:marTop w:val="0"/>
          <w:marBottom w:val="0"/>
          <w:divBdr>
            <w:top w:val="none" w:sz="0" w:space="0" w:color="auto"/>
            <w:left w:val="none" w:sz="0" w:space="0" w:color="auto"/>
            <w:bottom w:val="none" w:sz="0" w:space="0" w:color="auto"/>
            <w:right w:val="none" w:sz="0" w:space="0" w:color="auto"/>
          </w:divBdr>
        </w:div>
        <w:div w:id="1112701992">
          <w:marLeft w:val="0"/>
          <w:marRight w:val="0"/>
          <w:marTop w:val="0"/>
          <w:marBottom w:val="0"/>
          <w:divBdr>
            <w:top w:val="none" w:sz="0" w:space="0" w:color="auto"/>
            <w:left w:val="none" w:sz="0" w:space="0" w:color="auto"/>
            <w:bottom w:val="none" w:sz="0" w:space="0" w:color="auto"/>
            <w:right w:val="none" w:sz="0" w:space="0" w:color="auto"/>
          </w:divBdr>
        </w:div>
        <w:div w:id="1152215349">
          <w:marLeft w:val="0"/>
          <w:marRight w:val="0"/>
          <w:marTop w:val="0"/>
          <w:marBottom w:val="0"/>
          <w:divBdr>
            <w:top w:val="none" w:sz="0" w:space="0" w:color="auto"/>
            <w:left w:val="none" w:sz="0" w:space="0" w:color="auto"/>
            <w:bottom w:val="none" w:sz="0" w:space="0" w:color="auto"/>
            <w:right w:val="none" w:sz="0" w:space="0" w:color="auto"/>
          </w:divBdr>
        </w:div>
        <w:div w:id="1155802627">
          <w:marLeft w:val="0"/>
          <w:marRight w:val="0"/>
          <w:marTop w:val="0"/>
          <w:marBottom w:val="0"/>
          <w:divBdr>
            <w:top w:val="none" w:sz="0" w:space="0" w:color="auto"/>
            <w:left w:val="none" w:sz="0" w:space="0" w:color="auto"/>
            <w:bottom w:val="none" w:sz="0" w:space="0" w:color="auto"/>
            <w:right w:val="none" w:sz="0" w:space="0" w:color="auto"/>
          </w:divBdr>
        </w:div>
        <w:div w:id="1191065162">
          <w:marLeft w:val="0"/>
          <w:marRight w:val="0"/>
          <w:marTop w:val="0"/>
          <w:marBottom w:val="0"/>
          <w:divBdr>
            <w:top w:val="none" w:sz="0" w:space="0" w:color="auto"/>
            <w:left w:val="none" w:sz="0" w:space="0" w:color="auto"/>
            <w:bottom w:val="none" w:sz="0" w:space="0" w:color="auto"/>
            <w:right w:val="none" w:sz="0" w:space="0" w:color="auto"/>
          </w:divBdr>
        </w:div>
        <w:div w:id="1234008977">
          <w:marLeft w:val="0"/>
          <w:marRight w:val="0"/>
          <w:marTop w:val="0"/>
          <w:marBottom w:val="0"/>
          <w:divBdr>
            <w:top w:val="none" w:sz="0" w:space="0" w:color="auto"/>
            <w:left w:val="none" w:sz="0" w:space="0" w:color="auto"/>
            <w:bottom w:val="none" w:sz="0" w:space="0" w:color="auto"/>
            <w:right w:val="none" w:sz="0" w:space="0" w:color="auto"/>
          </w:divBdr>
        </w:div>
        <w:div w:id="1242763617">
          <w:marLeft w:val="0"/>
          <w:marRight w:val="0"/>
          <w:marTop w:val="0"/>
          <w:marBottom w:val="0"/>
          <w:divBdr>
            <w:top w:val="none" w:sz="0" w:space="0" w:color="auto"/>
            <w:left w:val="none" w:sz="0" w:space="0" w:color="auto"/>
            <w:bottom w:val="none" w:sz="0" w:space="0" w:color="auto"/>
            <w:right w:val="none" w:sz="0" w:space="0" w:color="auto"/>
          </w:divBdr>
        </w:div>
        <w:div w:id="1281961929">
          <w:marLeft w:val="0"/>
          <w:marRight w:val="0"/>
          <w:marTop w:val="0"/>
          <w:marBottom w:val="0"/>
          <w:divBdr>
            <w:top w:val="none" w:sz="0" w:space="0" w:color="auto"/>
            <w:left w:val="none" w:sz="0" w:space="0" w:color="auto"/>
            <w:bottom w:val="none" w:sz="0" w:space="0" w:color="auto"/>
            <w:right w:val="none" w:sz="0" w:space="0" w:color="auto"/>
          </w:divBdr>
        </w:div>
        <w:div w:id="1299796460">
          <w:marLeft w:val="0"/>
          <w:marRight w:val="0"/>
          <w:marTop w:val="0"/>
          <w:marBottom w:val="0"/>
          <w:divBdr>
            <w:top w:val="none" w:sz="0" w:space="0" w:color="auto"/>
            <w:left w:val="none" w:sz="0" w:space="0" w:color="auto"/>
            <w:bottom w:val="none" w:sz="0" w:space="0" w:color="auto"/>
            <w:right w:val="none" w:sz="0" w:space="0" w:color="auto"/>
          </w:divBdr>
        </w:div>
        <w:div w:id="1307396265">
          <w:marLeft w:val="0"/>
          <w:marRight w:val="0"/>
          <w:marTop w:val="0"/>
          <w:marBottom w:val="0"/>
          <w:divBdr>
            <w:top w:val="none" w:sz="0" w:space="0" w:color="auto"/>
            <w:left w:val="none" w:sz="0" w:space="0" w:color="auto"/>
            <w:bottom w:val="none" w:sz="0" w:space="0" w:color="auto"/>
            <w:right w:val="none" w:sz="0" w:space="0" w:color="auto"/>
          </w:divBdr>
        </w:div>
        <w:div w:id="1371032663">
          <w:marLeft w:val="0"/>
          <w:marRight w:val="0"/>
          <w:marTop w:val="0"/>
          <w:marBottom w:val="0"/>
          <w:divBdr>
            <w:top w:val="none" w:sz="0" w:space="0" w:color="auto"/>
            <w:left w:val="none" w:sz="0" w:space="0" w:color="auto"/>
            <w:bottom w:val="none" w:sz="0" w:space="0" w:color="auto"/>
            <w:right w:val="none" w:sz="0" w:space="0" w:color="auto"/>
          </w:divBdr>
        </w:div>
        <w:div w:id="1417825213">
          <w:marLeft w:val="0"/>
          <w:marRight w:val="0"/>
          <w:marTop w:val="0"/>
          <w:marBottom w:val="0"/>
          <w:divBdr>
            <w:top w:val="none" w:sz="0" w:space="0" w:color="auto"/>
            <w:left w:val="none" w:sz="0" w:space="0" w:color="auto"/>
            <w:bottom w:val="none" w:sz="0" w:space="0" w:color="auto"/>
            <w:right w:val="none" w:sz="0" w:space="0" w:color="auto"/>
          </w:divBdr>
        </w:div>
        <w:div w:id="1453477511">
          <w:marLeft w:val="0"/>
          <w:marRight w:val="0"/>
          <w:marTop w:val="0"/>
          <w:marBottom w:val="0"/>
          <w:divBdr>
            <w:top w:val="none" w:sz="0" w:space="0" w:color="auto"/>
            <w:left w:val="none" w:sz="0" w:space="0" w:color="auto"/>
            <w:bottom w:val="none" w:sz="0" w:space="0" w:color="auto"/>
            <w:right w:val="none" w:sz="0" w:space="0" w:color="auto"/>
          </w:divBdr>
        </w:div>
        <w:div w:id="1578977219">
          <w:marLeft w:val="0"/>
          <w:marRight w:val="0"/>
          <w:marTop w:val="0"/>
          <w:marBottom w:val="0"/>
          <w:divBdr>
            <w:top w:val="none" w:sz="0" w:space="0" w:color="auto"/>
            <w:left w:val="none" w:sz="0" w:space="0" w:color="auto"/>
            <w:bottom w:val="none" w:sz="0" w:space="0" w:color="auto"/>
            <w:right w:val="none" w:sz="0" w:space="0" w:color="auto"/>
          </w:divBdr>
        </w:div>
        <w:div w:id="1607467020">
          <w:marLeft w:val="0"/>
          <w:marRight w:val="0"/>
          <w:marTop w:val="0"/>
          <w:marBottom w:val="0"/>
          <w:divBdr>
            <w:top w:val="none" w:sz="0" w:space="0" w:color="auto"/>
            <w:left w:val="none" w:sz="0" w:space="0" w:color="auto"/>
            <w:bottom w:val="none" w:sz="0" w:space="0" w:color="auto"/>
            <w:right w:val="none" w:sz="0" w:space="0" w:color="auto"/>
          </w:divBdr>
        </w:div>
        <w:div w:id="1618562630">
          <w:marLeft w:val="0"/>
          <w:marRight w:val="0"/>
          <w:marTop w:val="0"/>
          <w:marBottom w:val="0"/>
          <w:divBdr>
            <w:top w:val="none" w:sz="0" w:space="0" w:color="auto"/>
            <w:left w:val="none" w:sz="0" w:space="0" w:color="auto"/>
            <w:bottom w:val="none" w:sz="0" w:space="0" w:color="auto"/>
            <w:right w:val="none" w:sz="0" w:space="0" w:color="auto"/>
          </w:divBdr>
        </w:div>
        <w:div w:id="1790971321">
          <w:marLeft w:val="0"/>
          <w:marRight w:val="0"/>
          <w:marTop w:val="0"/>
          <w:marBottom w:val="0"/>
          <w:divBdr>
            <w:top w:val="none" w:sz="0" w:space="0" w:color="auto"/>
            <w:left w:val="none" w:sz="0" w:space="0" w:color="auto"/>
            <w:bottom w:val="none" w:sz="0" w:space="0" w:color="auto"/>
            <w:right w:val="none" w:sz="0" w:space="0" w:color="auto"/>
          </w:divBdr>
        </w:div>
        <w:div w:id="1899124184">
          <w:marLeft w:val="0"/>
          <w:marRight w:val="0"/>
          <w:marTop w:val="0"/>
          <w:marBottom w:val="0"/>
          <w:divBdr>
            <w:top w:val="none" w:sz="0" w:space="0" w:color="auto"/>
            <w:left w:val="none" w:sz="0" w:space="0" w:color="auto"/>
            <w:bottom w:val="none" w:sz="0" w:space="0" w:color="auto"/>
            <w:right w:val="none" w:sz="0" w:space="0" w:color="auto"/>
          </w:divBdr>
        </w:div>
        <w:div w:id="1980647581">
          <w:marLeft w:val="0"/>
          <w:marRight w:val="0"/>
          <w:marTop w:val="0"/>
          <w:marBottom w:val="0"/>
          <w:divBdr>
            <w:top w:val="none" w:sz="0" w:space="0" w:color="auto"/>
            <w:left w:val="none" w:sz="0" w:space="0" w:color="auto"/>
            <w:bottom w:val="none" w:sz="0" w:space="0" w:color="auto"/>
            <w:right w:val="none" w:sz="0" w:space="0" w:color="auto"/>
          </w:divBdr>
        </w:div>
        <w:div w:id="2030253846">
          <w:marLeft w:val="0"/>
          <w:marRight w:val="0"/>
          <w:marTop w:val="0"/>
          <w:marBottom w:val="0"/>
          <w:divBdr>
            <w:top w:val="none" w:sz="0" w:space="0" w:color="auto"/>
            <w:left w:val="none" w:sz="0" w:space="0" w:color="auto"/>
            <w:bottom w:val="none" w:sz="0" w:space="0" w:color="auto"/>
            <w:right w:val="none" w:sz="0" w:space="0" w:color="auto"/>
          </w:divBdr>
        </w:div>
      </w:divsChild>
    </w:div>
    <w:div w:id="1124419872">
      <w:bodyDiv w:val="1"/>
      <w:marLeft w:val="0"/>
      <w:marRight w:val="0"/>
      <w:marTop w:val="0"/>
      <w:marBottom w:val="0"/>
      <w:divBdr>
        <w:top w:val="none" w:sz="0" w:space="0" w:color="auto"/>
        <w:left w:val="none" w:sz="0" w:space="0" w:color="auto"/>
        <w:bottom w:val="none" w:sz="0" w:space="0" w:color="auto"/>
        <w:right w:val="none" w:sz="0" w:space="0" w:color="auto"/>
      </w:divBdr>
    </w:div>
    <w:div w:id="1128164349">
      <w:bodyDiv w:val="1"/>
      <w:marLeft w:val="0"/>
      <w:marRight w:val="0"/>
      <w:marTop w:val="0"/>
      <w:marBottom w:val="0"/>
      <w:divBdr>
        <w:top w:val="none" w:sz="0" w:space="0" w:color="auto"/>
        <w:left w:val="none" w:sz="0" w:space="0" w:color="auto"/>
        <w:bottom w:val="none" w:sz="0" w:space="0" w:color="auto"/>
        <w:right w:val="none" w:sz="0" w:space="0" w:color="auto"/>
      </w:divBdr>
    </w:div>
    <w:div w:id="1135222332">
      <w:bodyDiv w:val="1"/>
      <w:marLeft w:val="0"/>
      <w:marRight w:val="0"/>
      <w:marTop w:val="0"/>
      <w:marBottom w:val="0"/>
      <w:divBdr>
        <w:top w:val="none" w:sz="0" w:space="0" w:color="auto"/>
        <w:left w:val="none" w:sz="0" w:space="0" w:color="auto"/>
        <w:bottom w:val="none" w:sz="0" w:space="0" w:color="auto"/>
        <w:right w:val="none" w:sz="0" w:space="0" w:color="auto"/>
      </w:divBdr>
    </w:div>
    <w:div w:id="1143158685">
      <w:bodyDiv w:val="1"/>
      <w:marLeft w:val="0"/>
      <w:marRight w:val="0"/>
      <w:marTop w:val="0"/>
      <w:marBottom w:val="0"/>
      <w:divBdr>
        <w:top w:val="none" w:sz="0" w:space="0" w:color="auto"/>
        <w:left w:val="none" w:sz="0" w:space="0" w:color="auto"/>
        <w:bottom w:val="none" w:sz="0" w:space="0" w:color="auto"/>
        <w:right w:val="none" w:sz="0" w:space="0" w:color="auto"/>
      </w:divBdr>
      <w:divsChild>
        <w:div w:id="928587096">
          <w:marLeft w:val="274"/>
          <w:marRight w:val="0"/>
          <w:marTop w:val="0"/>
          <w:marBottom w:val="0"/>
          <w:divBdr>
            <w:top w:val="none" w:sz="0" w:space="0" w:color="auto"/>
            <w:left w:val="none" w:sz="0" w:space="0" w:color="auto"/>
            <w:bottom w:val="none" w:sz="0" w:space="0" w:color="auto"/>
            <w:right w:val="none" w:sz="0" w:space="0" w:color="auto"/>
          </w:divBdr>
        </w:div>
        <w:div w:id="1267081400">
          <w:marLeft w:val="274"/>
          <w:marRight w:val="0"/>
          <w:marTop w:val="0"/>
          <w:marBottom w:val="0"/>
          <w:divBdr>
            <w:top w:val="none" w:sz="0" w:space="0" w:color="auto"/>
            <w:left w:val="none" w:sz="0" w:space="0" w:color="auto"/>
            <w:bottom w:val="none" w:sz="0" w:space="0" w:color="auto"/>
            <w:right w:val="none" w:sz="0" w:space="0" w:color="auto"/>
          </w:divBdr>
        </w:div>
        <w:div w:id="1611400031">
          <w:marLeft w:val="274"/>
          <w:marRight w:val="0"/>
          <w:marTop w:val="0"/>
          <w:marBottom w:val="0"/>
          <w:divBdr>
            <w:top w:val="none" w:sz="0" w:space="0" w:color="auto"/>
            <w:left w:val="none" w:sz="0" w:space="0" w:color="auto"/>
            <w:bottom w:val="none" w:sz="0" w:space="0" w:color="auto"/>
            <w:right w:val="none" w:sz="0" w:space="0" w:color="auto"/>
          </w:divBdr>
        </w:div>
        <w:div w:id="1702977622">
          <w:marLeft w:val="274"/>
          <w:marRight w:val="0"/>
          <w:marTop w:val="0"/>
          <w:marBottom w:val="0"/>
          <w:divBdr>
            <w:top w:val="none" w:sz="0" w:space="0" w:color="auto"/>
            <w:left w:val="none" w:sz="0" w:space="0" w:color="auto"/>
            <w:bottom w:val="none" w:sz="0" w:space="0" w:color="auto"/>
            <w:right w:val="none" w:sz="0" w:space="0" w:color="auto"/>
          </w:divBdr>
        </w:div>
        <w:div w:id="2049989947">
          <w:marLeft w:val="274"/>
          <w:marRight w:val="0"/>
          <w:marTop w:val="0"/>
          <w:marBottom w:val="0"/>
          <w:divBdr>
            <w:top w:val="none" w:sz="0" w:space="0" w:color="auto"/>
            <w:left w:val="none" w:sz="0" w:space="0" w:color="auto"/>
            <w:bottom w:val="none" w:sz="0" w:space="0" w:color="auto"/>
            <w:right w:val="none" w:sz="0" w:space="0" w:color="auto"/>
          </w:divBdr>
        </w:div>
      </w:divsChild>
    </w:div>
    <w:div w:id="1158032365">
      <w:bodyDiv w:val="1"/>
      <w:marLeft w:val="0"/>
      <w:marRight w:val="0"/>
      <w:marTop w:val="0"/>
      <w:marBottom w:val="0"/>
      <w:divBdr>
        <w:top w:val="none" w:sz="0" w:space="0" w:color="auto"/>
        <w:left w:val="none" w:sz="0" w:space="0" w:color="auto"/>
        <w:bottom w:val="none" w:sz="0" w:space="0" w:color="auto"/>
        <w:right w:val="none" w:sz="0" w:space="0" w:color="auto"/>
      </w:divBdr>
    </w:div>
    <w:div w:id="1193149163">
      <w:bodyDiv w:val="1"/>
      <w:marLeft w:val="0"/>
      <w:marRight w:val="0"/>
      <w:marTop w:val="0"/>
      <w:marBottom w:val="0"/>
      <w:divBdr>
        <w:top w:val="none" w:sz="0" w:space="0" w:color="auto"/>
        <w:left w:val="none" w:sz="0" w:space="0" w:color="auto"/>
        <w:bottom w:val="none" w:sz="0" w:space="0" w:color="auto"/>
        <w:right w:val="none" w:sz="0" w:space="0" w:color="auto"/>
      </w:divBdr>
    </w:div>
    <w:div w:id="1204634409">
      <w:bodyDiv w:val="1"/>
      <w:marLeft w:val="0"/>
      <w:marRight w:val="0"/>
      <w:marTop w:val="0"/>
      <w:marBottom w:val="0"/>
      <w:divBdr>
        <w:top w:val="none" w:sz="0" w:space="0" w:color="auto"/>
        <w:left w:val="none" w:sz="0" w:space="0" w:color="auto"/>
        <w:bottom w:val="none" w:sz="0" w:space="0" w:color="auto"/>
        <w:right w:val="none" w:sz="0" w:space="0" w:color="auto"/>
      </w:divBdr>
    </w:div>
    <w:div w:id="1211458284">
      <w:bodyDiv w:val="1"/>
      <w:marLeft w:val="0"/>
      <w:marRight w:val="0"/>
      <w:marTop w:val="0"/>
      <w:marBottom w:val="0"/>
      <w:divBdr>
        <w:top w:val="none" w:sz="0" w:space="0" w:color="auto"/>
        <w:left w:val="none" w:sz="0" w:space="0" w:color="auto"/>
        <w:bottom w:val="none" w:sz="0" w:space="0" w:color="auto"/>
        <w:right w:val="none" w:sz="0" w:space="0" w:color="auto"/>
      </w:divBdr>
      <w:divsChild>
        <w:div w:id="37779592">
          <w:marLeft w:val="0"/>
          <w:marRight w:val="0"/>
          <w:marTop w:val="0"/>
          <w:marBottom w:val="0"/>
          <w:divBdr>
            <w:top w:val="none" w:sz="0" w:space="0" w:color="auto"/>
            <w:left w:val="none" w:sz="0" w:space="0" w:color="auto"/>
            <w:bottom w:val="none" w:sz="0" w:space="0" w:color="auto"/>
            <w:right w:val="none" w:sz="0" w:space="0" w:color="auto"/>
          </w:divBdr>
        </w:div>
        <w:div w:id="157311297">
          <w:marLeft w:val="0"/>
          <w:marRight w:val="0"/>
          <w:marTop w:val="0"/>
          <w:marBottom w:val="0"/>
          <w:divBdr>
            <w:top w:val="none" w:sz="0" w:space="0" w:color="auto"/>
            <w:left w:val="none" w:sz="0" w:space="0" w:color="auto"/>
            <w:bottom w:val="none" w:sz="0" w:space="0" w:color="auto"/>
            <w:right w:val="none" w:sz="0" w:space="0" w:color="auto"/>
          </w:divBdr>
        </w:div>
        <w:div w:id="302349192">
          <w:marLeft w:val="0"/>
          <w:marRight w:val="0"/>
          <w:marTop w:val="0"/>
          <w:marBottom w:val="0"/>
          <w:divBdr>
            <w:top w:val="none" w:sz="0" w:space="0" w:color="auto"/>
            <w:left w:val="none" w:sz="0" w:space="0" w:color="auto"/>
            <w:bottom w:val="none" w:sz="0" w:space="0" w:color="auto"/>
            <w:right w:val="none" w:sz="0" w:space="0" w:color="auto"/>
          </w:divBdr>
        </w:div>
        <w:div w:id="326400999">
          <w:marLeft w:val="0"/>
          <w:marRight w:val="0"/>
          <w:marTop w:val="0"/>
          <w:marBottom w:val="0"/>
          <w:divBdr>
            <w:top w:val="none" w:sz="0" w:space="0" w:color="auto"/>
            <w:left w:val="none" w:sz="0" w:space="0" w:color="auto"/>
            <w:bottom w:val="none" w:sz="0" w:space="0" w:color="auto"/>
            <w:right w:val="none" w:sz="0" w:space="0" w:color="auto"/>
          </w:divBdr>
        </w:div>
        <w:div w:id="377440678">
          <w:marLeft w:val="0"/>
          <w:marRight w:val="0"/>
          <w:marTop w:val="0"/>
          <w:marBottom w:val="0"/>
          <w:divBdr>
            <w:top w:val="none" w:sz="0" w:space="0" w:color="auto"/>
            <w:left w:val="none" w:sz="0" w:space="0" w:color="auto"/>
            <w:bottom w:val="none" w:sz="0" w:space="0" w:color="auto"/>
            <w:right w:val="none" w:sz="0" w:space="0" w:color="auto"/>
          </w:divBdr>
        </w:div>
        <w:div w:id="410657878">
          <w:marLeft w:val="0"/>
          <w:marRight w:val="0"/>
          <w:marTop w:val="0"/>
          <w:marBottom w:val="0"/>
          <w:divBdr>
            <w:top w:val="none" w:sz="0" w:space="0" w:color="auto"/>
            <w:left w:val="none" w:sz="0" w:space="0" w:color="auto"/>
            <w:bottom w:val="none" w:sz="0" w:space="0" w:color="auto"/>
            <w:right w:val="none" w:sz="0" w:space="0" w:color="auto"/>
          </w:divBdr>
        </w:div>
        <w:div w:id="486168220">
          <w:marLeft w:val="0"/>
          <w:marRight w:val="0"/>
          <w:marTop w:val="0"/>
          <w:marBottom w:val="0"/>
          <w:divBdr>
            <w:top w:val="none" w:sz="0" w:space="0" w:color="auto"/>
            <w:left w:val="none" w:sz="0" w:space="0" w:color="auto"/>
            <w:bottom w:val="none" w:sz="0" w:space="0" w:color="auto"/>
            <w:right w:val="none" w:sz="0" w:space="0" w:color="auto"/>
          </w:divBdr>
        </w:div>
        <w:div w:id="496192665">
          <w:marLeft w:val="0"/>
          <w:marRight w:val="0"/>
          <w:marTop w:val="0"/>
          <w:marBottom w:val="0"/>
          <w:divBdr>
            <w:top w:val="none" w:sz="0" w:space="0" w:color="auto"/>
            <w:left w:val="none" w:sz="0" w:space="0" w:color="auto"/>
            <w:bottom w:val="none" w:sz="0" w:space="0" w:color="auto"/>
            <w:right w:val="none" w:sz="0" w:space="0" w:color="auto"/>
          </w:divBdr>
        </w:div>
        <w:div w:id="511141968">
          <w:marLeft w:val="0"/>
          <w:marRight w:val="0"/>
          <w:marTop w:val="0"/>
          <w:marBottom w:val="0"/>
          <w:divBdr>
            <w:top w:val="none" w:sz="0" w:space="0" w:color="auto"/>
            <w:left w:val="none" w:sz="0" w:space="0" w:color="auto"/>
            <w:bottom w:val="none" w:sz="0" w:space="0" w:color="auto"/>
            <w:right w:val="none" w:sz="0" w:space="0" w:color="auto"/>
          </w:divBdr>
        </w:div>
        <w:div w:id="524639430">
          <w:marLeft w:val="0"/>
          <w:marRight w:val="0"/>
          <w:marTop w:val="0"/>
          <w:marBottom w:val="0"/>
          <w:divBdr>
            <w:top w:val="none" w:sz="0" w:space="0" w:color="auto"/>
            <w:left w:val="none" w:sz="0" w:space="0" w:color="auto"/>
            <w:bottom w:val="none" w:sz="0" w:space="0" w:color="auto"/>
            <w:right w:val="none" w:sz="0" w:space="0" w:color="auto"/>
          </w:divBdr>
        </w:div>
        <w:div w:id="545677390">
          <w:marLeft w:val="0"/>
          <w:marRight w:val="0"/>
          <w:marTop w:val="0"/>
          <w:marBottom w:val="0"/>
          <w:divBdr>
            <w:top w:val="none" w:sz="0" w:space="0" w:color="auto"/>
            <w:left w:val="none" w:sz="0" w:space="0" w:color="auto"/>
            <w:bottom w:val="none" w:sz="0" w:space="0" w:color="auto"/>
            <w:right w:val="none" w:sz="0" w:space="0" w:color="auto"/>
          </w:divBdr>
        </w:div>
        <w:div w:id="883097723">
          <w:marLeft w:val="0"/>
          <w:marRight w:val="0"/>
          <w:marTop w:val="0"/>
          <w:marBottom w:val="0"/>
          <w:divBdr>
            <w:top w:val="none" w:sz="0" w:space="0" w:color="auto"/>
            <w:left w:val="none" w:sz="0" w:space="0" w:color="auto"/>
            <w:bottom w:val="none" w:sz="0" w:space="0" w:color="auto"/>
            <w:right w:val="none" w:sz="0" w:space="0" w:color="auto"/>
          </w:divBdr>
        </w:div>
        <w:div w:id="1000349191">
          <w:marLeft w:val="0"/>
          <w:marRight w:val="0"/>
          <w:marTop w:val="0"/>
          <w:marBottom w:val="0"/>
          <w:divBdr>
            <w:top w:val="none" w:sz="0" w:space="0" w:color="auto"/>
            <w:left w:val="none" w:sz="0" w:space="0" w:color="auto"/>
            <w:bottom w:val="none" w:sz="0" w:space="0" w:color="auto"/>
            <w:right w:val="none" w:sz="0" w:space="0" w:color="auto"/>
          </w:divBdr>
        </w:div>
        <w:div w:id="1038969325">
          <w:marLeft w:val="0"/>
          <w:marRight w:val="0"/>
          <w:marTop w:val="0"/>
          <w:marBottom w:val="0"/>
          <w:divBdr>
            <w:top w:val="none" w:sz="0" w:space="0" w:color="auto"/>
            <w:left w:val="none" w:sz="0" w:space="0" w:color="auto"/>
            <w:bottom w:val="none" w:sz="0" w:space="0" w:color="auto"/>
            <w:right w:val="none" w:sz="0" w:space="0" w:color="auto"/>
          </w:divBdr>
        </w:div>
        <w:div w:id="1155609017">
          <w:marLeft w:val="0"/>
          <w:marRight w:val="0"/>
          <w:marTop w:val="0"/>
          <w:marBottom w:val="0"/>
          <w:divBdr>
            <w:top w:val="none" w:sz="0" w:space="0" w:color="auto"/>
            <w:left w:val="none" w:sz="0" w:space="0" w:color="auto"/>
            <w:bottom w:val="none" w:sz="0" w:space="0" w:color="auto"/>
            <w:right w:val="none" w:sz="0" w:space="0" w:color="auto"/>
          </w:divBdr>
        </w:div>
        <w:div w:id="1173959751">
          <w:marLeft w:val="0"/>
          <w:marRight w:val="0"/>
          <w:marTop w:val="0"/>
          <w:marBottom w:val="0"/>
          <w:divBdr>
            <w:top w:val="none" w:sz="0" w:space="0" w:color="auto"/>
            <w:left w:val="none" w:sz="0" w:space="0" w:color="auto"/>
            <w:bottom w:val="none" w:sz="0" w:space="0" w:color="auto"/>
            <w:right w:val="none" w:sz="0" w:space="0" w:color="auto"/>
          </w:divBdr>
        </w:div>
        <w:div w:id="1558007387">
          <w:marLeft w:val="0"/>
          <w:marRight w:val="0"/>
          <w:marTop w:val="0"/>
          <w:marBottom w:val="0"/>
          <w:divBdr>
            <w:top w:val="none" w:sz="0" w:space="0" w:color="auto"/>
            <w:left w:val="none" w:sz="0" w:space="0" w:color="auto"/>
            <w:bottom w:val="none" w:sz="0" w:space="0" w:color="auto"/>
            <w:right w:val="none" w:sz="0" w:space="0" w:color="auto"/>
          </w:divBdr>
        </w:div>
        <w:div w:id="1584071620">
          <w:marLeft w:val="0"/>
          <w:marRight w:val="0"/>
          <w:marTop w:val="0"/>
          <w:marBottom w:val="0"/>
          <w:divBdr>
            <w:top w:val="none" w:sz="0" w:space="0" w:color="auto"/>
            <w:left w:val="none" w:sz="0" w:space="0" w:color="auto"/>
            <w:bottom w:val="none" w:sz="0" w:space="0" w:color="auto"/>
            <w:right w:val="none" w:sz="0" w:space="0" w:color="auto"/>
          </w:divBdr>
        </w:div>
        <w:div w:id="1705641755">
          <w:marLeft w:val="0"/>
          <w:marRight w:val="0"/>
          <w:marTop w:val="0"/>
          <w:marBottom w:val="0"/>
          <w:divBdr>
            <w:top w:val="none" w:sz="0" w:space="0" w:color="auto"/>
            <w:left w:val="none" w:sz="0" w:space="0" w:color="auto"/>
            <w:bottom w:val="none" w:sz="0" w:space="0" w:color="auto"/>
            <w:right w:val="none" w:sz="0" w:space="0" w:color="auto"/>
          </w:divBdr>
        </w:div>
        <w:div w:id="1711228141">
          <w:marLeft w:val="0"/>
          <w:marRight w:val="0"/>
          <w:marTop w:val="0"/>
          <w:marBottom w:val="0"/>
          <w:divBdr>
            <w:top w:val="none" w:sz="0" w:space="0" w:color="auto"/>
            <w:left w:val="none" w:sz="0" w:space="0" w:color="auto"/>
            <w:bottom w:val="none" w:sz="0" w:space="0" w:color="auto"/>
            <w:right w:val="none" w:sz="0" w:space="0" w:color="auto"/>
          </w:divBdr>
        </w:div>
        <w:div w:id="1853490934">
          <w:marLeft w:val="0"/>
          <w:marRight w:val="0"/>
          <w:marTop w:val="0"/>
          <w:marBottom w:val="0"/>
          <w:divBdr>
            <w:top w:val="none" w:sz="0" w:space="0" w:color="auto"/>
            <w:left w:val="none" w:sz="0" w:space="0" w:color="auto"/>
            <w:bottom w:val="none" w:sz="0" w:space="0" w:color="auto"/>
            <w:right w:val="none" w:sz="0" w:space="0" w:color="auto"/>
          </w:divBdr>
        </w:div>
        <w:div w:id="1868834874">
          <w:marLeft w:val="0"/>
          <w:marRight w:val="0"/>
          <w:marTop w:val="0"/>
          <w:marBottom w:val="0"/>
          <w:divBdr>
            <w:top w:val="none" w:sz="0" w:space="0" w:color="auto"/>
            <w:left w:val="none" w:sz="0" w:space="0" w:color="auto"/>
            <w:bottom w:val="none" w:sz="0" w:space="0" w:color="auto"/>
            <w:right w:val="none" w:sz="0" w:space="0" w:color="auto"/>
          </w:divBdr>
        </w:div>
        <w:div w:id="1936399910">
          <w:marLeft w:val="0"/>
          <w:marRight w:val="0"/>
          <w:marTop w:val="0"/>
          <w:marBottom w:val="0"/>
          <w:divBdr>
            <w:top w:val="none" w:sz="0" w:space="0" w:color="auto"/>
            <w:left w:val="none" w:sz="0" w:space="0" w:color="auto"/>
            <w:bottom w:val="none" w:sz="0" w:space="0" w:color="auto"/>
            <w:right w:val="none" w:sz="0" w:space="0" w:color="auto"/>
          </w:divBdr>
        </w:div>
        <w:div w:id="1981689452">
          <w:marLeft w:val="0"/>
          <w:marRight w:val="0"/>
          <w:marTop w:val="0"/>
          <w:marBottom w:val="0"/>
          <w:divBdr>
            <w:top w:val="none" w:sz="0" w:space="0" w:color="auto"/>
            <w:left w:val="none" w:sz="0" w:space="0" w:color="auto"/>
            <w:bottom w:val="none" w:sz="0" w:space="0" w:color="auto"/>
            <w:right w:val="none" w:sz="0" w:space="0" w:color="auto"/>
          </w:divBdr>
        </w:div>
        <w:div w:id="2088844117">
          <w:marLeft w:val="0"/>
          <w:marRight w:val="0"/>
          <w:marTop w:val="0"/>
          <w:marBottom w:val="0"/>
          <w:divBdr>
            <w:top w:val="none" w:sz="0" w:space="0" w:color="auto"/>
            <w:left w:val="none" w:sz="0" w:space="0" w:color="auto"/>
            <w:bottom w:val="none" w:sz="0" w:space="0" w:color="auto"/>
            <w:right w:val="none" w:sz="0" w:space="0" w:color="auto"/>
          </w:divBdr>
        </w:div>
        <w:div w:id="2135637766">
          <w:marLeft w:val="0"/>
          <w:marRight w:val="0"/>
          <w:marTop w:val="0"/>
          <w:marBottom w:val="0"/>
          <w:divBdr>
            <w:top w:val="none" w:sz="0" w:space="0" w:color="auto"/>
            <w:left w:val="none" w:sz="0" w:space="0" w:color="auto"/>
            <w:bottom w:val="none" w:sz="0" w:space="0" w:color="auto"/>
            <w:right w:val="none" w:sz="0" w:space="0" w:color="auto"/>
          </w:divBdr>
        </w:div>
      </w:divsChild>
    </w:div>
    <w:div w:id="1229338342">
      <w:bodyDiv w:val="1"/>
      <w:marLeft w:val="0"/>
      <w:marRight w:val="0"/>
      <w:marTop w:val="0"/>
      <w:marBottom w:val="0"/>
      <w:divBdr>
        <w:top w:val="none" w:sz="0" w:space="0" w:color="auto"/>
        <w:left w:val="none" w:sz="0" w:space="0" w:color="auto"/>
        <w:bottom w:val="none" w:sz="0" w:space="0" w:color="auto"/>
        <w:right w:val="none" w:sz="0" w:space="0" w:color="auto"/>
      </w:divBdr>
      <w:divsChild>
        <w:div w:id="101536902">
          <w:marLeft w:val="0"/>
          <w:marRight w:val="0"/>
          <w:marTop w:val="0"/>
          <w:marBottom w:val="0"/>
          <w:divBdr>
            <w:top w:val="none" w:sz="0" w:space="0" w:color="auto"/>
            <w:left w:val="none" w:sz="0" w:space="0" w:color="auto"/>
            <w:bottom w:val="none" w:sz="0" w:space="0" w:color="auto"/>
            <w:right w:val="none" w:sz="0" w:space="0" w:color="auto"/>
          </w:divBdr>
        </w:div>
        <w:div w:id="143158644">
          <w:marLeft w:val="0"/>
          <w:marRight w:val="0"/>
          <w:marTop w:val="0"/>
          <w:marBottom w:val="0"/>
          <w:divBdr>
            <w:top w:val="none" w:sz="0" w:space="0" w:color="auto"/>
            <w:left w:val="none" w:sz="0" w:space="0" w:color="auto"/>
            <w:bottom w:val="none" w:sz="0" w:space="0" w:color="auto"/>
            <w:right w:val="none" w:sz="0" w:space="0" w:color="auto"/>
          </w:divBdr>
        </w:div>
        <w:div w:id="338582324">
          <w:marLeft w:val="0"/>
          <w:marRight w:val="0"/>
          <w:marTop w:val="0"/>
          <w:marBottom w:val="0"/>
          <w:divBdr>
            <w:top w:val="none" w:sz="0" w:space="0" w:color="auto"/>
            <w:left w:val="none" w:sz="0" w:space="0" w:color="auto"/>
            <w:bottom w:val="none" w:sz="0" w:space="0" w:color="auto"/>
            <w:right w:val="none" w:sz="0" w:space="0" w:color="auto"/>
          </w:divBdr>
        </w:div>
        <w:div w:id="521360364">
          <w:marLeft w:val="0"/>
          <w:marRight w:val="0"/>
          <w:marTop w:val="0"/>
          <w:marBottom w:val="0"/>
          <w:divBdr>
            <w:top w:val="none" w:sz="0" w:space="0" w:color="auto"/>
            <w:left w:val="none" w:sz="0" w:space="0" w:color="auto"/>
            <w:bottom w:val="none" w:sz="0" w:space="0" w:color="auto"/>
            <w:right w:val="none" w:sz="0" w:space="0" w:color="auto"/>
          </w:divBdr>
        </w:div>
        <w:div w:id="551966539">
          <w:marLeft w:val="0"/>
          <w:marRight w:val="0"/>
          <w:marTop w:val="0"/>
          <w:marBottom w:val="0"/>
          <w:divBdr>
            <w:top w:val="none" w:sz="0" w:space="0" w:color="auto"/>
            <w:left w:val="none" w:sz="0" w:space="0" w:color="auto"/>
            <w:bottom w:val="none" w:sz="0" w:space="0" w:color="auto"/>
            <w:right w:val="none" w:sz="0" w:space="0" w:color="auto"/>
          </w:divBdr>
        </w:div>
        <w:div w:id="716583185">
          <w:marLeft w:val="0"/>
          <w:marRight w:val="0"/>
          <w:marTop w:val="0"/>
          <w:marBottom w:val="0"/>
          <w:divBdr>
            <w:top w:val="none" w:sz="0" w:space="0" w:color="auto"/>
            <w:left w:val="none" w:sz="0" w:space="0" w:color="auto"/>
            <w:bottom w:val="none" w:sz="0" w:space="0" w:color="auto"/>
            <w:right w:val="none" w:sz="0" w:space="0" w:color="auto"/>
          </w:divBdr>
        </w:div>
        <w:div w:id="729572508">
          <w:marLeft w:val="0"/>
          <w:marRight w:val="0"/>
          <w:marTop w:val="0"/>
          <w:marBottom w:val="0"/>
          <w:divBdr>
            <w:top w:val="none" w:sz="0" w:space="0" w:color="auto"/>
            <w:left w:val="none" w:sz="0" w:space="0" w:color="auto"/>
            <w:bottom w:val="none" w:sz="0" w:space="0" w:color="auto"/>
            <w:right w:val="none" w:sz="0" w:space="0" w:color="auto"/>
          </w:divBdr>
        </w:div>
        <w:div w:id="858085393">
          <w:marLeft w:val="0"/>
          <w:marRight w:val="0"/>
          <w:marTop w:val="0"/>
          <w:marBottom w:val="0"/>
          <w:divBdr>
            <w:top w:val="none" w:sz="0" w:space="0" w:color="auto"/>
            <w:left w:val="none" w:sz="0" w:space="0" w:color="auto"/>
            <w:bottom w:val="none" w:sz="0" w:space="0" w:color="auto"/>
            <w:right w:val="none" w:sz="0" w:space="0" w:color="auto"/>
          </w:divBdr>
        </w:div>
        <w:div w:id="877425551">
          <w:marLeft w:val="0"/>
          <w:marRight w:val="0"/>
          <w:marTop w:val="0"/>
          <w:marBottom w:val="0"/>
          <w:divBdr>
            <w:top w:val="none" w:sz="0" w:space="0" w:color="auto"/>
            <w:left w:val="none" w:sz="0" w:space="0" w:color="auto"/>
            <w:bottom w:val="none" w:sz="0" w:space="0" w:color="auto"/>
            <w:right w:val="none" w:sz="0" w:space="0" w:color="auto"/>
          </w:divBdr>
        </w:div>
        <w:div w:id="923880902">
          <w:marLeft w:val="0"/>
          <w:marRight w:val="0"/>
          <w:marTop w:val="0"/>
          <w:marBottom w:val="0"/>
          <w:divBdr>
            <w:top w:val="none" w:sz="0" w:space="0" w:color="auto"/>
            <w:left w:val="none" w:sz="0" w:space="0" w:color="auto"/>
            <w:bottom w:val="none" w:sz="0" w:space="0" w:color="auto"/>
            <w:right w:val="none" w:sz="0" w:space="0" w:color="auto"/>
          </w:divBdr>
        </w:div>
        <w:div w:id="943652940">
          <w:marLeft w:val="0"/>
          <w:marRight w:val="0"/>
          <w:marTop w:val="0"/>
          <w:marBottom w:val="0"/>
          <w:divBdr>
            <w:top w:val="none" w:sz="0" w:space="0" w:color="auto"/>
            <w:left w:val="none" w:sz="0" w:space="0" w:color="auto"/>
            <w:bottom w:val="none" w:sz="0" w:space="0" w:color="auto"/>
            <w:right w:val="none" w:sz="0" w:space="0" w:color="auto"/>
          </w:divBdr>
        </w:div>
        <w:div w:id="1386223830">
          <w:marLeft w:val="0"/>
          <w:marRight w:val="0"/>
          <w:marTop w:val="0"/>
          <w:marBottom w:val="0"/>
          <w:divBdr>
            <w:top w:val="none" w:sz="0" w:space="0" w:color="auto"/>
            <w:left w:val="none" w:sz="0" w:space="0" w:color="auto"/>
            <w:bottom w:val="none" w:sz="0" w:space="0" w:color="auto"/>
            <w:right w:val="none" w:sz="0" w:space="0" w:color="auto"/>
          </w:divBdr>
        </w:div>
        <w:div w:id="1474519685">
          <w:marLeft w:val="0"/>
          <w:marRight w:val="0"/>
          <w:marTop w:val="0"/>
          <w:marBottom w:val="0"/>
          <w:divBdr>
            <w:top w:val="none" w:sz="0" w:space="0" w:color="auto"/>
            <w:left w:val="none" w:sz="0" w:space="0" w:color="auto"/>
            <w:bottom w:val="none" w:sz="0" w:space="0" w:color="auto"/>
            <w:right w:val="none" w:sz="0" w:space="0" w:color="auto"/>
          </w:divBdr>
        </w:div>
        <w:div w:id="1619725056">
          <w:marLeft w:val="0"/>
          <w:marRight w:val="0"/>
          <w:marTop w:val="0"/>
          <w:marBottom w:val="0"/>
          <w:divBdr>
            <w:top w:val="none" w:sz="0" w:space="0" w:color="auto"/>
            <w:left w:val="none" w:sz="0" w:space="0" w:color="auto"/>
            <w:bottom w:val="none" w:sz="0" w:space="0" w:color="auto"/>
            <w:right w:val="none" w:sz="0" w:space="0" w:color="auto"/>
          </w:divBdr>
        </w:div>
        <w:div w:id="1634628254">
          <w:marLeft w:val="0"/>
          <w:marRight w:val="0"/>
          <w:marTop w:val="0"/>
          <w:marBottom w:val="0"/>
          <w:divBdr>
            <w:top w:val="none" w:sz="0" w:space="0" w:color="auto"/>
            <w:left w:val="none" w:sz="0" w:space="0" w:color="auto"/>
            <w:bottom w:val="none" w:sz="0" w:space="0" w:color="auto"/>
            <w:right w:val="none" w:sz="0" w:space="0" w:color="auto"/>
          </w:divBdr>
        </w:div>
        <w:div w:id="1698240075">
          <w:marLeft w:val="0"/>
          <w:marRight w:val="0"/>
          <w:marTop w:val="0"/>
          <w:marBottom w:val="0"/>
          <w:divBdr>
            <w:top w:val="none" w:sz="0" w:space="0" w:color="auto"/>
            <w:left w:val="none" w:sz="0" w:space="0" w:color="auto"/>
            <w:bottom w:val="none" w:sz="0" w:space="0" w:color="auto"/>
            <w:right w:val="none" w:sz="0" w:space="0" w:color="auto"/>
          </w:divBdr>
        </w:div>
        <w:div w:id="1750880102">
          <w:marLeft w:val="0"/>
          <w:marRight w:val="0"/>
          <w:marTop w:val="0"/>
          <w:marBottom w:val="0"/>
          <w:divBdr>
            <w:top w:val="none" w:sz="0" w:space="0" w:color="auto"/>
            <w:left w:val="none" w:sz="0" w:space="0" w:color="auto"/>
            <w:bottom w:val="none" w:sz="0" w:space="0" w:color="auto"/>
            <w:right w:val="none" w:sz="0" w:space="0" w:color="auto"/>
          </w:divBdr>
        </w:div>
        <w:div w:id="1772894638">
          <w:marLeft w:val="0"/>
          <w:marRight w:val="0"/>
          <w:marTop w:val="0"/>
          <w:marBottom w:val="0"/>
          <w:divBdr>
            <w:top w:val="none" w:sz="0" w:space="0" w:color="auto"/>
            <w:left w:val="none" w:sz="0" w:space="0" w:color="auto"/>
            <w:bottom w:val="none" w:sz="0" w:space="0" w:color="auto"/>
            <w:right w:val="none" w:sz="0" w:space="0" w:color="auto"/>
          </w:divBdr>
        </w:div>
        <w:div w:id="1830444767">
          <w:marLeft w:val="0"/>
          <w:marRight w:val="0"/>
          <w:marTop w:val="0"/>
          <w:marBottom w:val="0"/>
          <w:divBdr>
            <w:top w:val="none" w:sz="0" w:space="0" w:color="auto"/>
            <w:left w:val="none" w:sz="0" w:space="0" w:color="auto"/>
            <w:bottom w:val="none" w:sz="0" w:space="0" w:color="auto"/>
            <w:right w:val="none" w:sz="0" w:space="0" w:color="auto"/>
          </w:divBdr>
        </w:div>
        <w:div w:id="2054965856">
          <w:marLeft w:val="0"/>
          <w:marRight w:val="0"/>
          <w:marTop w:val="0"/>
          <w:marBottom w:val="0"/>
          <w:divBdr>
            <w:top w:val="none" w:sz="0" w:space="0" w:color="auto"/>
            <w:left w:val="none" w:sz="0" w:space="0" w:color="auto"/>
            <w:bottom w:val="none" w:sz="0" w:space="0" w:color="auto"/>
            <w:right w:val="none" w:sz="0" w:space="0" w:color="auto"/>
          </w:divBdr>
        </w:div>
        <w:div w:id="2069450357">
          <w:marLeft w:val="0"/>
          <w:marRight w:val="0"/>
          <w:marTop w:val="0"/>
          <w:marBottom w:val="0"/>
          <w:divBdr>
            <w:top w:val="none" w:sz="0" w:space="0" w:color="auto"/>
            <w:left w:val="none" w:sz="0" w:space="0" w:color="auto"/>
            <w:bottom w:val="none" w:sz="0" w:space="0" w:color="auto"/>
            <w:right w:val="none" w:sz="0" w:space="0" w:color="auto"/>
          </w:divBdr>
        </w:div>
      </w:divsChild>
    </w:div>
    <w:div w:id="1237322349">
      <w:bodyDiv w:val="1"/>
      <w:marLeft w:val="0"/>
      <w:marRight w:val="0"/>
      <w:marTop w:val="0"/>
      <w:marBottom w:val="0"/>
      <w:divBdr>
        <w:top w:val="none" w:sz="0" w:space="0" w:color="auto"/>
        <w:left w:val="none" w:sz="0" w:space="0" w:color="auto"/>
        <w:bottom w:val="none" w:sz="0" w:space="0" w:color="auto"/>
        <w:right w:val="none" w:sz="0" w:space="0" w:color="auto"/>
      </w:divBdr>
      <w:divsChild>
        <w:div w:id="1265575040">
          <w:marLeft w:val="0"/>
          <w:marRight w:val="0"/>
          <w:marTop w:val="450"/>
          <w:marBottom w:val="450"/>
          <w:divBdr>
            <w:top w:val="none" w:sz="0" w:space="0" w:color="auto"/>
            <w:left w:val="none" w:sz="0" w:space="0" w:color="auto"/>
            <w:bottom w:val="none" w:sz="0" w:space="0" w:color="auto"/>
            <w:right w:val="none" w:sz="0" w:space="0" w:color="auto"/>
          </w:divBdr>
          <w:divsChild>
            <w:div w:id="443496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500686">
      <w:bodyDiv w:val="1"/>
      <w:marLeft w:val="0"/>
      <w:marRight w:val="0"/>
      <w:marTop w:val="0"/>
      <w:marBottom w:val="0"/>
      <w:divBdr>
        <w:top w:val="none" w:sz="0" w:space="0" w:color="auto"/>
        <w:left w:val="none" w:sz="0" w:space="0" w:color="auto"/>
        <w:bottom w:val="none" w:sz="0" w:space="0" w:color="auto"/>
        <w:right w:val="none" w:sz="0" w:space="0" w:color="auto"/>
      </w:divBdr>
    </w:div>
    <w:div w:id="1252397692">
      <w:bodyDiv w:val="1"/>
      <w:marLeft w:val="0"/>
      <w:marRight w:val="0"/>
      <w:marTop w:val="0"/>
      <w:marBottom w:val="0"/>
      <w:divBdr>
        <w:top w:val="none" w:sz="0" w:space="0" w:color="auto"/>
        <w:left w:val="none" w:sz="0" w:space="0" w:color="auto"/>
        <w:bottom w:val="none" w:sz="0" w:space="0" w:color="auto"/>
        <w:right w:val="none" w:sz="0" w:space="0" w:color="auto"/>
      </w:divBdr>
    </w:div>
    <w:div w:id="1255552100">
      <w:bodyDiv w:val="1"/>
      <w:marLeft w:val="0"/>
      <w:marRight w:val="0"/>
      <w:marTop w:val="0"/>
      <w:marBottom w:val="0"/>
      <w:divBdr>
        <w:top w:val="none" w:sz="0" w:space="0" w:color="auto"/>
        <w:left w:val="none" w:sz="0" w:space="0" w:color="auto"/>
        <w:bottom w:val="none" w:sz="0" w:space="0" w:color="auto"/>
        <w:right w:val="none" w:sz="0" w:space="0" w:color="auto"/>
      </w:divBdr>
    </w:div>
    <w:div w:id="1292590071">
      <w:bodyDiv w:val="1"/>
      <w:marLeft w:val="0"/>
      <w:marRight w:val="0"/>
      <w:marTop w:val="0"/>
      <w:marBottom w:val="0"/>
      <w:divBdr>
        <w:top w:val="none" w:sz="0" w:space="0" w:color="auto"/>
        <w:left w:val="none" w:sz="0" w:space="0" w:color="auto"/>
        <w:bottom w:val="none" w:sz="0" w:space="0" w:color="auto"/>
        <w:right w:val="none" w:sz="0" w:space="0" w:color="auto"/>
      </w:divBdr>
      <w:divsChild>
        <w:div w:id="76249087">
          <w:marLeft w:val="0"/>
          <w:marRight w:val="0"/>
          <w:marTop w:val="0"/>
          <w:marBottom w:val="0"/>
          <w:divBdr>
            <w:top w:val="none" w:sz="0" w:space="0" w:color="auto"/>
            <w:left w:val="none" w:sz="0" w:space="0" w:color="auto"/>
            <w:bottom w:val="none" w:sz="0" w:space="0" w:color="auto"/>
            <w:right w:val="none" w:sz="0" w:space="0" w:color="auto"/>
          </w:divBdr>
        </w:div>
        <w:div w:id="149031299">
          <w:marLeft w:val="0"/>
          <w:marRight w:val="0"/>
          <w:marTop w:val="0"/>
          <w:marBottom w:val="0"/>
          <w:divBdr>
            <w:top w:val="none" w:sz="0" w:space="0" w:color="auto"/>
            <w:left w:val="none" w:sz="0" w:space="0" w:color="auto"/>
            <w:bottom w:val="none" w:sz="0" w:space="0" w:color="auto"/>
            <w:right w:val="none" w:sz="0" w:space="0" w:color="auto"/>
          </w:divBdr>
        </w:div>
        <w:div w:id="497043947">
          <w:marLeft w:val="0"/>
          <w:marRight w:val="0"/>
          <w:marTop w:val="0"/>
          <w:marBottom w:val="0"/>
          <w:divBdr>
            <w:top w:val="none" w:sz="0" w:space="0" w:color="auto"/>
            <w:left w:val="none" w:sz="0" w:space="0" w:color="auto"/>
            <w:bottom w:val="none" w:sz="0" w:space="0" w:color="auto"/>
            <w:right w:val="none" w:sz="0" w:space="0" w:color="auto"/>
          </w:divBdr>
        </w:div>
        <w:div w:id="1645354556">
          <w:marLeft w:val="0"/>
          <w:marRight w:val="0"/>
          <w:marTop w:val="0"/>
          <w:marBottom w:val="0"/>
          <w:divBdr>
            <w:top w:val="none" w:sz="0" w:space="0" w:color="auto"/>
            <w:left w:val="none" w:sz="0" w:space="0" w:color="auto"/>
            <w:bottom w:val="none" w:sz="0" w:space="0" w:color="auto"/>
            <w:right w:val="none" w:sz="0" w:space="0" w:color="auto"/>
          </w:divBdr>
        </w:div>
        <w:div w:id="1969117490">
          <w:marLeft w:val="0"/>
          <w:marRight w:val="0"/>
          <w:marTop w:val="0"/>
          <w:marBottom w:val="0"/>
          <w:divBdr>
            <w:top w:val="none" w:sz="0" w:space="0" w:color="auto"/>
            <w:left w:val="none" w:sz="0" w:space="0" w:color="auto"/>
            <w:bottom w:val="none" w:sz="0" w:space="0" w:color="auto"/>
            <w:right w:val="none" w:sz="0" w:space="0" w:color="auto"/>
          </w:divBdr>
        </w:div>
      </w:divsChild>
    </w:div>
    <w:div w:id="1297687666">
      <w:bodyDiv w:val="1"/>
      <w:marLeft w:val="0"/>
      <w:marRight w:val="0"/>
      <w:marTop w:val="0"/>
      <w:marBottom w:val="0"/>
      <w:divBdr>
        <w:top w:val="none" w:sz="0" w:space="0" w:color="auto"/>
        <w:left w:val="none" w:sz="0" w:space="0" w:color="auto"/>
        <w:bottom w:val="none" w:sz="0" w:space="0" w:color="auto"/>
        <w:right w:val="none" w:sz="0" w:space="0" w:color="auto"/>
      </w:divBdr>
      <w:divsChild>
        <w:div w:id="772362498">
          <w:marLeft w:val="274"/>
          <w:marRight w:val="0"/>
          <w:marTop w:val="120"/>
          <w:marBottom w:val="120"/>
          <w:divBdr>
            <w:top w:val="none" w:sz="0" w:space="0" w:color="auto"/>
            <w:left w:val="none" w:sz="0" w:space="0" w:color="auto"/>
            <w:bottom w:val="none" w:sz="0" w:space="0" w:color="auto"/>
            <w:right w:val="none" w:sz="0" w:space="0" w:color="auto"/>
          </w:divBdr>
        </w:div>
        <w:div w:id="2103135800">
          <w:marLeft w:val="274"/>
          <w:marRight w:val="0"/>
          <w:marTop w:val="120"/>
          <w:marBottom w:val="120"/>
          <w:divBdr>
            <w:top w:val="none" w:sz="0" w:space="0" w:color="auto"/>
            <w:left w:val="none" w:sz="0" w:space="0" w:color="auto"/>
            <w:bottom w:val="none" w:sz="0" w:space="0" w:color="auto"/>
            <w:right w:val="none" w:sz="0" w:space="0" w:color="auto"/>
          </w:divBdr>
        </w:div>
      </w:divsChild>
    </w:div>
    <w:div w:id="1309749593">
      <w:bodyDiv w:val="1"/>
      <w:marLeft w:val="0"/>
      <w:marRight w:val="0"/>
      <w:marTop w:val="0"/>
      <w:marBottom w:val="0"/>
      <w:divBdr>
        <w:top w:val="none" w:sz="0" w:space="0" w:color="auto"/>
        <w:left w:val="none" w:sz="0" w:space="0" w:color="auto"/>
        <w:bottom w:val="none" w:sz="0" w:space="0" w:color="auto"/>
        <w:right w:val="none" w:sz="0" w:space="0" w:color="auto"/>
      </w:divBdr>
      <w:divsChild>
        <w:div w:id="1872330022">
          <w:marLeft w:val="0"/>
          <w:marRight w:val="0"/>
          <w:marTop w:val="0"/>
          <w:marBottom w:val="0"/>
          <w:divBdr>
            <w:top w:val="none" w:sz="0" w:space="0" w:color="auto"/>
            <w:left w:val="none" w:sz="0" w:space="0" w:color="auto"/>
            <w:bottom w:val="none" w:sz="0" w:space="0" w:color="auto"/>
            <w:right w:val="none" w:sz="0" w:space="0" w:color="auto"/>
          </w:divBdr>
          <w:divsChild>
            <w:div w:id="648292428">
              <w:marLeft w:val="0"/>
              <w:marRight w:val="0"/>
              <w:marTop w:val="0"/>
              <w:marBottom w:val="0"/>
              <w:divBdr>
                <w:top w:val="none" w:sz="0" w:space="0" w:color="auto"/>
                <w:left w:val="none" w:sz="0" w:space="0" w:color="auto"/>
                <w:bottom w:val="none" w:sz="0" w:space="0" w:color="auto"/>
                <w:right w:val="none" w:sz="0" w:space="0" w:color="auto"/>
              </w:divBdr>
              <w:divsChild>
                <w:div w:id="7420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89591">
      <w:bodyDiv w:val="1"/>
      <w:marLeft w:val="0"/>
      <w:marRight w:val="0"/>
      <w:marTop w:val="0"/>
      <w:marBottom w:val="0"/>
      <w:divBdr>
        <w:top w:val="none" w:sz="0" w:space="0" w:color="auto"/>
        <w:left w:val="none" w:sz="0" w:space="0" w:color="auto"/>
        <w:bottom w:val="none" w:sz="0" w:space="0" w:color="auto"/>
        <w:right w:val="none" w:sz="0" w:space="0" w:color="auto"/>
      </w:divBdr>
    </w:div>
    <w:div w:id="1319726618">
      <w:bodyDiv w:val="1"/>
      <w:marLeft w:val="0"/>
      <w:marRight w:val="0"/>
      <w:marTop w:val="0"/>
      <w:marBottom w:val="0"/>
      <w:divBdr>
        <w:top w:val="none" w:sz="0" w:space="0" w:color="auto"/>
        <w:left w:val="none" w:sz="0" w:space="0" w:color="auto"/>
        <w:bottom w:val="none" w:sz="0" w:space="0" w:color="auto"/>
        <w:right w:val="none" w:sz="0" w:space="0" w:color="auto"/>
      </w:divBdr>
      <w:divsChild>
        <w:div w:id="1893732442">
          <w:marLeft w:val="0"/>
          <w:marRight w:val="0"/>
          <w:marTop w:val="0"/>
          <w:marBottom w:val="0"/>
          <w:divBdr>
            <w:top w:val="none" w:sz="0" w:space="0" w:color="auto"/>
            <w:left w:val="none" w:sz="0" w:space="0" w:color="auto"/>
            <w:bottom w:val="none" w:sz="0" w:space="0" w:color="auto"/>
            <w:right w:val="none" w:sz="0" w:space="0" w:color="auto"/>
          </w:divBdr>
        </w:div>
      </w:divsChild>
    </w:div>
    <w:div w:id="1347558562">
      <w:bodyDiv w:val="1"/>
      <w:marLeft w:val="0"/>
      <w:marRight w:val="0"/>
      <w:marTop w:val="0"/>
      <w:marBottom w:val="0"/>
      <w:divBdr>
        <w:top w:val="none" w:sz="0" w:space="0" w:color="auto"/>
        <w:left w:val="none" w:sz="0" w:space="0" w:color="auto"/>
        <w:bottom w:val="none" w:sz="0" w:space="0" w:color="auto"/>
        <w:right w:val="none" w:sz="0" w:space="0" w:color="auto"/>
      </w:divBdr>
      <w:divsChild>
        <w:div w:id="378823602">
          <w:marLeft w:val="0"/>
          <w:marRight w:val="0"/>
          <w:marTop w:val="0"/>
          <w:marBottom w:val="0"/>
          <w:divBdr>
            <w:top w:val="none" w:sz="0" w:space="0" w:color="auto"/>
            <w:left w:val="none" w:sz="0" w:space="0" w:color="auto"/>
            <w:bottom w:val="none" w:sz="0" w:space="0" w:color="auto"/>
            <w:right w:val="none" w:sz="0" w:space="0" w:color="auto"/>
          </w:divBdr>
        </w:div>
        <w:div w:id="1111558260">
          <w:marLeft w:val="0"/>
          <w:marRight w:val="0"/>
          <w:marTop w:val="0"/>
          <w:marBottom w:val="0"/>
          <w:divBdr>
            <w:top w:val="none" w:sz="0" w:space="0" w:color="auto"/>
            <w:left w:val="none" w:sz="0" w:space="0" w:color="auto"/>
            <w:bottom w:val="none" w:sz="0" w:space="0" w:color="auto"/>
            <w:right w:val="none" w:sz="0" w:space="0" w:color="auto"/>
          </w:divBdr>
        </w:div>
        <w:div w:id="1423337019">
          <w:marLeft w:val="0"/>
          <w:marRight w:val="0"/>
          <w:marTop w:val="0"/>
          <w:marBottom w:val="0"/>
          <w:divBdr>
            <w:top w:val="none" w:sz="0" w:space="0" w:color="auto"/>
            <w:left w:val="none" w:sz="0" w:space="0" w:color="auto"/>
            <w:bottom w:val="none" w:sz="0" w:space="0" w:color="auto"/>
            <w:right w:val="none" w:sz="0" w:space="0" w:color="auto"/>
          </w:divBdr>
        </w:div>
      </w:divsChild>
    </w:div>
    <w:div w:id="1348215066">
      <w:bodyDiv w:val="1"/>
      <w:marLeft w:val="0"/>
      <w:marRight w:val="0"/>
      <w:marTop w:val="0"/>
      <w:marBottom w:val="0"/>
      <w:divBdr>
        <w:top w:val="none" w:sz="0" w:space="0" w:color="auto"/>
        <w:left w:val="none" w:sz="0" w:space="0" w:color="auto"/>
        <w:bottom w:val="none" w:sz="0" w:space="0" w:color="auto"/>
        <w:right w:val="none" w:sz="0" w:space="0" w:color="auto"/>
      </w:divBdr>
      <w:divsChild>
        <w:div w:id="56054388">
          <w:marLeft w:val="0"/>
          <w:marRight w:val="0"/>
          <w:marTop w:val="0"/>
          <w:marBottom w:val="0"/>
          <w:divBdr>
            <w:top w:val="none" w:sz="0" w:space="0" w:color="auto"/>
            <w:left w:val="none" w:sz="0" w:space="0" w:color="auto"/>
            <w:bottom w:val="none" w:sz="0" w:space="0" w:color="auto"/>
            <w:right w:val="none" w:sz="0" w:space="0" w:color="auto"/>
          </w:divBdr>
        </w:div>
        <w:div w:id="302002979">
          <w:marLeft w:val="0"/>
          <w:marRight w:val="0"/>
          <w:marTop w:val="0"/>
          <w:marBottom w:val="0"/>
          <w:divBdr>
            <w:top w:val="none" w:sz="0" w:space="0" w:color="auto"/>
            <w:left w:val="none" w:sz="0" w:space="0" w:color="auto"/>
            <w:bottom w:val="none" w:sz="0" w:space="0" w:color="auto"/>
            <w:right w:val="none" w:sz="0" w:space="0" w:color="auto"/>
          </w:divBdr>
        </w:div>
        <w:div w:id="321473903">
          <w:marLeft w:val="0"/>
          <w:marRight w:val="0"/>
          <w:marTop w:val="0"/>
          <w:marBottom w:val="0"/>
          <w:divBdr>
            <w:top w:val="none" w:sz="0" w:space="0" w:color="auto"/>
            <w:left w:val="none" w:sz="0" w:space="0" w:color="auto"/>
            <w:bottom w:val="none" w:sz="0" w:space="0" w:color="auto"/>
            <w:right w:val="none" w:sz="0" w:space="0" w:color="auto"/>
          </w:divBdr>
        </w:div>
        <w:div w:id="348064748">
          <w:marLeft w:val="0"/>
          <w:marRight w:val="0"/>
          <w:marTop w:val="0"/>
          <w:marBottom w:val="0"/>
          <w:divBdr>
            <w:top w:val="none" w:sz="0" w:space="0" w:color="auto"/>
            <w:left w:val="none" w:sz="0" w:space="0" w:color="auto"/>
            <w:bottom w:val="none" w:sz="0" w:space="0" w:color="auto"/>
            <w:right w:val="none" w:sz="0" w:space="0" w:color="auto"/>
          </w:divBdr>
        </w:div>
        <w:div w:id="362944291">
          <w:marLeft w:val="0"/>
          <w:marRight w:val="0"/>
          <w:marTop w:val="0"/>
          <w:marBottom w:val="0"/>
          <w:divBdr>
            <w:top w:val="none" w:sz="0" w:space="0" w:color="auto"/>
            <w:left w:val="none" w:sz="0" w:space="0" w:color="auto"/>
            <w:bottom w:val="none" w:sz="0" w:space="0" w:color="auto"/>
            <w:right w:val="none" w:sz="0" w:space="0" w:color="auto"/>
          </w:divBdr>
        </w:div>
        <w:div w:id="389498507">
          <w:marLeft w:val="0"/>
          <w:marRight w:val="0"/>
          <w:marTop w:val="0"/>
          <w:marBottom w:val="0"/>
          <w:divBdr>
            <w:top w:val="none" w:sz="0" w:space="0" w:color="auto"/>
            <w:left w:val="none" w:sz="0" w:space="0" w:color="auto"/>
            <w:bottom w:val="none" w:sz="0" w:space="0" w:color="auto"/>
            <w:right w:val="none" w:sz="0" w:space="0" w:color="auto"/>
          </w:divBdr>
        </w:div>
        <w:div w:id="397872457">
          <w:marLeft w:val="0"/>
          <w:marRight w:val="0"/>
          <w:marTop w:val="0"/>
          <w:marBottom w:val="0"/>
          <w:divBdr>
            <w:top w:val="none" w:sz="0" w:space="0" w:color="auto"/>
            <w:left w:val="none" w:sz="0" w:space="0" w:color="auto"/>
            <w:bottom w:val="none" w:sz="0" w:space="0" w:color="auto"/>
            <w:right w:val="none" w:sz="0" w:space="0" w:color="auto"/>
          </w:divBdr>
        </w:div>
        <w:div w:id="476801513">
          <w:marLeft w:val="0"/>
          <w:marRight w:val="0"/>
          <w:marTop w:val="0"/>
          <w:marBottom w:val="0"/>
          <w:divBdr>
            <w:top w:val="none" w:sz="0" w:space="0" w:color="auto"/>
            <w:left w:val="none" w:sz="0" w:space="0" w:color="auto"/>
            <w:bottom w:val="none" w:sz="0" w:space="0" w:color="auto"/>
            <w:right w:val="none" w:sz="0" w:space="0" w:color="auto"/>
          </w:divBdr>
        </w:div>
        <w:div w:id="512493906">
          <w:marLeft w:val="0"/>
          <w:marRight w:val="0"/>
          <w:marTop w:val="0"/>
          <w:marBottom w:val="0"/>
          <w:divBdr>
            <w:top w:val="none" w:sz="0" w:space="0" w:color="auto"/>
            <w:left w:val="none" w:sz="0" w:space="0" w:color="auto"/>
            <w:bottom w:val="none" w:sz="0" w:space="0" w:color="auto"/>
            <w:right w:val="none" w:sz="0" w:space="0" w:color="auto"/>
          </w:divBdr>
        </w:div>
        <w:div w:id="582304101">
          <w:marLeft w:val="0"/>
          <w:marRight w:val="0"/>
          <w:marTop w:val="0"/>
          <w:marBottom w:val="0"/>
          <w:divBdr>
            <w:top w:val="none" w:sz="0" w:space="0" w:color="auto"/>
            <w:left w:val="none" w:sz="0" w:space="0" w:color="auto"/>
            <w:bottom w:val="none" w:sz="0" w:space="0" w:color="auto"/>
            <w:right w:val="none" w:sz="0" w:space="0" w:color="auto"/>
          </w:divBdr>
        </w:div>
        <w:div w:id="724446369">
          <w:marLeft w:val="0"/>
          <w:marRight w:val="0"/>
          <w:marTop w:val="0"/>
          <w:marBottom w:val="0"/>
          <w:divBdr>
            <w:top w:val="none" w:sz="0" w:space="0" w:color="auto"/>
            <w:left w:val="none" w:sz="0" w:space="0" w:color="auto"/>
            <w:bottom w:val="none" w:sz="0" w:space="0" w:color="auto"/>
            <w:right w:val="none" w:sz="0" w:space="0" w:color="auto"/>
          </w:divBdr>
        </w:div>
        <w:div w:id="744188014">
          <w:marLeft w:val="0"/>
          <w:marRight w:val="0"/>
          <w:marTop w:val="0"/>
          <w:marBottom w:val="0"/>
          <w:divBdr>
            <w:top w:val="none" w:sz="0" w:space="0" w:color="auto"/>
            <w:left w:val="none" w:sz="0" w:space="0" w:color="auto"/>
            <w:bottom w:val="none" w:sz="0" w:space="0" w:color="auto"/>
            <w:right w:val="none" w:sz="0" w:space="0" w:color="auto"/>
          </w:divBdr>
        </w:div>
        <w:div w:id="745955063">
          <w:marLeft w:val="0"/>
          <w:marRight w:val="0"/>
          <w:marTop w:val="0"/>
          <w:marBottom w:val="0"/>
          <w:divBdr>
            <w:top w:val="none" w:sz="0" w:space="0" w:color="auto"/>
            <w:left w:val="none" w:sz="0" w:space="0" w:color="auto"/>
            <w:bottom w:val="none" w:sz="0" w:space="0" w:color="auto"/>
            <w:right w:val="none" w:sz="0" w:space="0" w:color="auto"/>
          </w:divBdr>
        </w:div>
        <w:div w:id="763109955">
          <w:marLeft w:val="0"/>
          <w:marRight w:val="0"/>
          <w:marTop w:val="0"/>
          <w:marBottom w:val="0"/>
          <w:divBdr>
            <w:top w:val="none" w:sz="0" w:space="0" w:color="auto"/>
            <w:left w:val="none" w:sz="0" w:space="0" w:color="auto"/>
            <w:bottom w:val="none" w:sz="0" w:space="0" w:color="auto"/>
            <w:right w:val="none" w:sz="0" w:space="0" w:color="auto"/>
          </w:divBdr>
        </w:div>
        <w:div w:id="788624488">
          <w:marLeft w:val="0"/>
          <w:marRight w:val="0"/>
          <w:marTop w:val="0"/>
          <w:marBottom w:val="0"/>
          <w:divBdr>
            <w:top w:val="none" w:sz="0" w:space="0" w:color="auto"/>
            <w:left w:val="none" w:sz="0" w:space="0" w:color="auto"/>
            <w:bottom w:val="none" w:sz="0" w:space="0" w:color="auto"/>
            <w:right w:val="none" w:sz="0" w:space="0" w:color="auto"/>
          </w:divBdr>
        </w:div>
        <w:div w:id="794327695">
          <w:marLeft w:val="0"/>
          <w:marRight w:val="0"/>
          <w:marTop w:val="0"/>
          <w:marBottom w:val="0"/>
          <w:divBdr>
            <w:top w:val="none" w:sz="0" w:space="0" w:color="auto"/>
            <w:left w:val="none" w:sz="0" w:space="0" w:color="auto"/>
            <w:bottom w:val="none" w:sz="0" w:space="0" w:color="auto"/>
            <w:right w:val="none" w:sz="0" w:space="0" w:color="auto"/>
          </w:divBdr>
        </w:div>
        <w:div w:id="923732638">
          <w:marLeft w:val="0"/>
          <w:marRight w:val="0"/>
          <w:marTop w:val="0"/>
          <w:marBottom w:val="0"/>
          <w:divBdr>
            <w:top w:val="none" w:sz="0" w:space="0" w:color="auto"/>
            <w:left w:val="none" w:sz="0" w:space="0" w:color="auto"/>
            <w:bottom w:val="none" w:sz="0" w:space="0" w:color="auto"/>
            <w:right w:val="none" w:sz="0" w:space="0" w:color="auto"/>
          </w:divBdr>
        </w:div>
        <w:div w:id="936136366">
          <w:marLeft w:val="0"/>
          <w:marRight w:val="0"/>
          <w:marTop w:val="0"/>
          <w:marBottom w:val="0"/>
          <w:divBdr>
            <w:top w:val="none" w:sz="0" w:space="0" w:color="auto"/>
            <w:left w:val="none" w:sz="0" w:space="0" w:color="auto"/>
            <w:bottom w:val="none" w:sz="0" w:space="0" w:color="auto"/>
            <w:right w:val="none" w:sz="0" w:space="0" w:color="auto"/>
          </w:divBdr>
        </w:div>
        <w:div w:id="1142232672">
          <w:marLeft w:val="0"/>
          <w:marRight w:val="0"/>
          <w:marTop w:val="0"/>
          <w:marBottom w:val="0"/>
          <w:divBdr>
            <w:top w:val="none" w:sz="0" w:space="0" w:color="auto"/>
            <w:left w:val="none" w:sz="0" w:space="0" w:color="auto"/>
            <w:bottom w:val="none" w:sz="0" w:space="0" w:color="auto"/>
            <w:right w:val="none" w:sz="0" w:space="0" w:color="auto"/>
          </w:divBdr>
        </w:div>
        <w:div w:id="1154763553">
          <w:marLeft w:val="0"/>
          <w:marRight w:val="0"/>
          <w:marTop w:val="0"/>
          <w:marBottom w:val="0"/>
          <w:divBdr>
            <w:top w:val="none" w:sz="0" w:space="0" w:color="auto"/>
            <w:left w:val="none" w:sz="0" w:space="0" w:color="auto"/>
            <w:bottom w:val="none" w:sz="0" w:space="0" w:color="auto"/>
            <w:right w:val="none" w:sz="0" w:space="0" w:color="auto"/>
          </w:divBdr>
        </w:div>
        <w:div w:id="1155072946">
          <w:marLeft w:val="0"/>
          <w:marRight w:val="0"/>
          <w:marTop w:val="0"/>
          <w:marBottom w:val="0"/>
          <w:divBdr>
            <w:top w:val="none" w:sz="0" w:space="0" w:color="auto"/>
            <w:left w:val="none" w:sz="0" w:space="0" w:color="auto"/>
            <w:bottom w:val="none" w:sz="0" w:space="0" w:color="auto"/>
            <w:right w:val="none" w:sz="0" w:space="0" w:color="auto"/>
          </w:divBdr>
        </w:div>
        <w:div w:id="1162550304">
          <w:marLeft w:val="0"/>
          <w:marRight w:val="0"/>
          <w:marTop w:val="0"/>
          <w:marBottom w:val="0"/>
          <w:divBdr>
            <w:top w:val="none" w:sz="0" w:space="0" w:color="auto"/>
            <w:left w:val="none" w:sz="0" w:space="0" w:color="auto"/>
            <w:bottom w:val="none" w:sz="0" w:space="0" w:color="auto"/>
            <w:right w:val="none" w:sz="0" w:space="0" w:color="auto"/>
          </w:divBdr>
        </w:div>
        <w:div w:id="1208642011">
          <w:marLeft w:val="0"/>
          <w:marRight w:val="0"/>
          <w:marTop w:val="0"/>
          <w:marBottom w:val="0"/>
          <w:divBdr>
            <w:top w:val="none" w:sz="0" w:space="0" w:color="auto"/>
            <w:left w:val="none" w:sz="0" w:space="0" w:color="auto"/>
            <w:bottom w:val="none" w:sz="0" w:space="0" w:color="auto"/>
            <w:right w:val="none" w:sz="0" w:space="0" w:color="auto"/>
          </w:divBdr>
        </w:div>
        <w:div w:id="1211696500">
          <w:marLeft w:val="0"/>
          <w:marRight w:val="0"/>
          <w:marTop w:val="0"/>
          <w:marBottom w:val="0"/>
          <w:divBdr>
            <w:top w:val="none" w:sz="0" w:space="0" w:color="auto"/>
            <w:left w:val="none" w:sz="0" w:space="0" w:color="auto"/>
            <w:bottom w:val="none" w:sz="0" w:space="0" w:color="auto"/>
            <w:right w:val="none" w:sz="0" w:space="0" w:color="auto"/>
          </w:divBdr>
        </w:div>
        <w:div w:id="1291671150">
          <w:marLeft w:val="0"/>
          <w:marRight w:val="0"/>
          <w:marTop w:val="0"/>
          <w:marBottom w:val="0"/>
          <w:divBdr>
            <w:top w:val="none" w:sz="0" w:space="0" w:color="auto"/>
            <w:left w:val="none" w:sz="0" w:space="0" w:color="auto"/>
            <w:bottom w:val="none" w:sz="0" w:space="0" w:color="auto"/>
            <w:right w:val="none" w:sz="0" w:space="0" w:color="auto"/>
          </w:divBdr>
        </w:div>
        <w:div w:id="1313291017">
          <w:marLeft w:val="0"/>
          <w:marRight w:val="0"/>
          <w:marTop w:val="0"/>
          <w:marBottom w:val="0"/>
          <w:divBdr>
            <w:top w:val="none" w:sz="0" w:space="0" w:color="auto"/>
            <w:left w:val="none" w:sz="0" w:space="0" w:color="auto"/>
            <w:bottom w:val="none" w:sz="0" w:space="0" w:color="auto"/>
            <w:right w:val="none" w:sz="0" w:space="0" w:color="auto"/>
          </w:divBdr>
        </w:div>
        <w:div w:id="1315450875">
          <w:marLeft w:val="0"/>
          <w:marRight w:val="0"/>
          <w:marTop w:val="0"/>
          <w:marBottom w:val="0"/>
          <w:divBdr>
            <w:top w:val="none" w:sz="0" w:space="0" w:color="auto"/>
            <w:left w:val="none" w:sz="0" w:space="0" w:color="auto"/>
            <w:bottom w:val="none" w:sz="0" w:space="0" w:color="auto"/>
            <w:right w:val="none" w:sz="0" w:space="0" w:color="auto"/>
          </w:divBdr>
        </w:div>
        <w:div w:id="1326007520">
          <w:marLeft w:val="0"/>
          <w:marRight w:val="0"/>
          <w:marTop w:val="0"/>
          <w:marBottom w:val="0"/>
          <w:divBdr>
            <w:top w:val="none" w:sz="0" w:space="0" w:color="auto"/>
            <w:left w:val="none" w:sz="0" w:space="0" w:color="auto"/>
            <w:bottom w:val="none" w:sz="0" w:space="0" w:color="auto"/>
            <w:right w:val="none" w:sz="0" w:space="0" w:color="auto"/>
          </w:divBdr>
        </w:div>
        <w:div w:id="1337881647">
          <w:marLeft w:val="0"/>
          <w:marRight w:val="0"/>
          <w:marTop w:val="0"/>
          <w:marBottom w:val="0"/>
          <w:divBdr>
            <w:top w:val="none" w:sz="0" w:space="0" w:color="auto"/>
            <w:left w:val="none" w:sz="0" w:space="0" w:color="auto"/>
            <w:bottom w:val="none" w:sz="0" w:space="0" w:color="auto"/>
            <w:right w:val="none" w:sz="0" w:space="0" w:color="auto"/>
          </w:divBdr>
        </w:div>
        <w:div w:id="1378705293">
          <w:marLeft w:val="0"/>
          <w:marRight w:val="0"/>
          <w:marTop w:val="0"/>
          <w:marBottom w:val="0"/>
          <w:divBdr>
            <w:top w:val="none" w:sz="0" w:space="0" w:color="auto"/>
            <w:left w:val="none" w:sz="0" w:space="0" w:color="auto"/>
            <w:bottom w:val="none" w:sz="0" w:space="0" w:color="auto"/>
            <w:right w:val="none" w:sz="0" w:space="0" w:color="auto"/>
          </w:divBdr>
        </w:div>
        <w:div w:id="1384013778">
          <w:marLeft w:val="0"/>
          <w:marRight w:val="0"/>
          <w:marTop w:val="0"/>
          <w:marBottom w:val="0"/>
          <w:divBdr>
            <w:top w:val="none" w:sz="0" w:space="0" w:color="auto"/>
            <w:left w:val="none" w:sz="0" w:space="0" w:color="auto"/>
            <w:bottom w:val="none" w:sz="0" w:space="0" w:color="auto"/>
            <w:right w:val="none" w:sz="0" w:space="0" w:color="auto"/>
          </w:divBdr>
        </w:div>
        <w:div w:id="1453397646">
          <w:marLeft w:val="0"/>
          <w:marRight w:val="0"/>
          <w:marTop w:val="0"/>
          <w:marBottom w:val="0"/>
          <w:divBdr>
            <w:top w:val="none" w:sz="0" w:space="0" w:color="auto"/>
            <w:left w:val="none" w:sz="0" w:space="0" w:color="auto"/>
            <w:bottom w:val="none" w:sz="0" w:space="0" w:color="auto"/>
            <w:right w:val="none" w:sz="0" w:space="0" w:color="auto"/>
          </w:divBdr>
        </w:div>
        <w:div w:id="1455172269">
          <w:marLeft w:val="0"/>
          <w:marRight w:val="0"/>
          <w:marTop w:val="0"/>
          <w:marBottom w:val="0"/>
          <w:divBdr>
            <w:top w:val="none" w:sz="0" w:space="0" w:color="auto"/>
            <w:left w:val="none" w:sz="0" w:space="0" w:color="auto"/>
            <w:bottom w:val="none" w:sz="0" w:space="0" w:color="auto"/>
            <w:right w:val="none" w:sz="0" w:space="0" w:color="auto"/>
          </w:divBdr>
        </w:div>
        <w:div w:id="1632396369">
          <w:marLeft w:val="0"/>
          <w:marRight w:val="0"/>
          <w:marTop w:val="0"/>
          <w:marBottom w:val="0"/>
          <w:divBdr>
            <w:top w:val="none" w:sz="0" w:space="0" w:color="auto"/>
            <w:left w:val="none" w:sz="0" w:space="0" w:color="auto"/>
            <w:bottom w:val="none" w:sz="0" w:space="0" w:color="auto"/>
            <w:right w:val="none" w:sz="0" w:space="0" w:color="auto"/>
          </w:divBdr>
        </w:div>
        <w:div w:id="1632520083">
          <w:marLeft w:val="0"/>
          <w:marRight w:val="0"/>
          <w:marTop w:val="0"/>
          <w:marBottom w:val="0"/>
          <w:divBdr>
            <w:top w:val="none" w:sz="0" w:space="0" w:color="auto"/>
            <w:left w:val="none" w:sz="0" w:space="0" w:color="auto"/>
            <w:bottom w:val="none" w:sz="0" w:space="0" w:color="auto"/>
            <w:right w:val="none" w:sz="0" w:space="0" w:color="auto"/>
          </w:divBdr>
        </w:div>
        <w:div w:id="1672491505">
          <w:marLeft w:val="0"/>
          <w:marRight w:val="0"/>
          <w:marTop w:val="0"/>
          <w:marBottom w:val="0"/>
          <w:divBdr>
            <w:top w:val="none" w:sz="0" w:space="0" w:color="auto"/>
            <w:left w:val="none" w:sz="0" w:space="0" w:color="auto"/>
            <w:bottom w:val="none" w:sz="0" w:space="0" w:color="auto"/>
            <w:right w:val="none" w:sz="0" w:space="0" w:color="auto"/>
          </w:divBdr>
        </w:div>
        <w:div w:id="1727605856">
          <w:marLeft w:val="0"/>
          <w:marRight w:val="0"/>
          <w:marTop w:val="0"/>
          <w:marBottom w:val="0"/>
          <w:divBdr>
            <w:top w:val="none" w:sz="0" w:space="0" w:color="auto"/>
            <w:left w:val="none" w:sz="0" w:space="0" w:color="auto"/>
            <w:bottom w:val="none" w:sz="0" w:space="0" w:color="auto"/>
            <w:right w:val="none" w:sz="0" w:space="0" w:color="auto"/>
          </w:divBdr>
        </w:div>
        <w:div w:id="1752316761">
          <w:marLeft w:val="0"/>
          <w:marRight w:val="0"/>
          <w:marTop w:val="0"/>
          <w:marBottom w:val="0"/>
          <w:divBdr>
            <w:top w:val="none" w:sz="0" w:space="0" w:color="auto"/>
            <w:left w:val="none" w:sz="0" w:space="0" w:color="auto"/>
            <w:bottom w:val="none" w:sz="0" w:space="0" w:color="auto"/>
            <w:right w:val="none" w:sz="0" w:space="0" w:color="auto"/>
          </w:divBdr>
        </w:div>
        <w:div w:id="1762096795">
          <w:marLeft w:val="0"/>
          <w:marRight w:val="0"/>
          <w:marTop w:val="0"/>
          <w:marBottom w:val="0"/>
          <w:divBdr>
            <w:top w:val="none" w:sz="0" w:space="0" w:color="auto"/>
            <w:left w:val="none" w:sz="0" w:space="0" w:color="auto"/>
            <w:bottom w:val="none" w:sz="0" w:space="0" w:color="auto"/>
            <w:right w:val="none" w:sz="0" w:space="0" w:color="auto"/>
          </w:divBdr>
        </w:div>
        <w:div w:id="1769227530">
          <w:marLeft w:val="0"/>
          <w:marRight w:val="0"/>
          <w:marTop w:val="0"/>
          <w:marBottom w:val="0"/>
          <w:divBdr>
            <w:top w:val="none" w:sz="0" w:space="0" w:color="auto"/>
            <w:left w:val="none" w:sz="0" w:space="0" w:color="auto"/>
            <w:bottom w:val="none" w:sz="0" w:space="0" w:color="auto"/>
            <w:right w:val="none" w:sz="0" w:space="0" w:color="auto"/>
          </w:divBdr>
        </w:div>
        <w:div w:id="1793094239">
          <w:marLeft w:val="0"/>
          <w:marRight w:val="0"/>
          <w:marTop w:val="0"/>
          <w:marBottom w:val="0"/>
          <w:divBdr>
            <w:top w:val="none" w:sz="0" w:space="0" w:color="auto"/>
            <w:left w:val="none" w:sz="0" w:space="0" w:color="auto"/>
            <w:bottom w:val="none" w:sz="0" w:space="0" w:color="auto"/>
            <w:right w:val="none" w:sz="0" w:space="0" w:color="auto"/>
          </w:divBdr>
        </w:div>
        <w:div w:id="1801800914">
          <w:marLeft w:val="0"/>
          <w:marRight w:val="0"/>
          <w:marTop w:val="0"/>
          <w:marBottom w:val="0"/>
          <w:divBdr>
            <w:top w:val="none" w:sz="0" w:space="0" w:color="auto"/>
            <w:left w:val="none" w:sz="0" w:space="0" w:color="auto"/>
            <w:bottom w:val="none" w:sz="0" w:space="0" w:color="auto"/>
            <w:right w:val="none" w:sz="0" w:space="0" w:color="auto"/>
          </w:divBdr>
        </w:div>
        <w:div w:id="1803189194">
          <w:marLeft w:val="0"/>
          <w:marRight w:val="0"/>
          <w:marTop w:val="0"/>
          <w:marBottom w:val="0"/>
          <w:divBdr>
            <w:top w:val="none" w:sz="0" w:space="0" w:color="auto"/>
            <w:left w:val="none" w:sz="0" w:space="0" w:color="auto"/>
            <w:bottom w:val="none" w:sz="0" w:space="0" w:color="auto"/>
            <w:right w:val="none" w:sz="0" w:space="0" w:color="auto"/>
          </w:divBdr>
        </w:div>
        <w:div w:id="1841776015">
          <w:marLeft w:val="0"/>
          <w:marRight w:val="0"/>
          <w:marTop w:val="0"/>
          <w:marBottom w:val="0"/>
          <w:divBdr>
            <w:top w:val="none" w:sz="0" w:space="0" w:color="auto"/>
            <w:left w:val="none" w:sz="0" w:space="0" w:color="auto"/>
            <w:bottom w:val="none" w:sz="0" w:space="0" w:color="auto"/>
            <w:right w:val="none" w:sz="0" w:space="0" w:color="auto"/>
          </w:divBdr>
        </w:div>
        <w:div w:id="1898858298">
          <w:marLeft w:val="0"/>
          <w:marRight w:val="0"/>
          <w:marTop w:val="0"/>
          <w:marBottom w:val="0"/>
          <w:divBdr>
            <w:top w:val="none" w:sz="0" w:space="0" w:color="auto"/>
            <w:left w:val="none" w:sz="0" w:space="0" w:color="auto"/>
            <w:bottom w:val="none" w:sz="0" w:space="0" w:color="auto"/>
            <w:right w:val="none" w:sz="0" w:space="0" w:color="auto"/>
          </w:divBdr>
        </w:div>
        <w:div w:id="1950156519">
          <w:marLeft w:val="0"/>
          <w:marRight w:val="0"/>
          <w:marTop w:val="0"/>
          <w:marBottom w:val="0"/>
          <w:divBdr>
            <w:top w:val="none" w:sz="0" w:space="0" w:color="auto"/>
            <w:left w:val="none" w:sz="0" w:space="0" w:color="auto"/>
            <w:bottom w:val="none" w:sz="0" w:space="0" w:color="auto"/>
            <w:right w:val="none" w:sz="0" w:space="0" w:color="auto"/>
          </w:divBdr>
        </w:div>
        <w:div w:id="1955479684">
          <w:marLeft w:val="0"/>
          <w:marRight w:val="0"/>
          <w:marTop w:val="0"/>
          <w:marBottom w:val="0"/>
          <w:divBdr>
            <w:top w:val="none" w:sz="0" w:space="0" w:color="auto"/>
            <w:left w:val="none" w:sz="0" w:space="0" w:color="auto"/>
            <w:bottom w:val="none" w:sz="0" w:space="0" w:color="auto"/>
            <w:right w:val="none" w:sz="0" w:space="0" w:color="auto"/>
          </w:divBdr>
        </w:div>
        <w:div w:id="2038119863">
          <w:marLeft w:val="0"/>
          <w:marRight w:val="0"/>
          <w:marTop w:val="0"/>
          <w:marBottom w:val="0"/>
          <w:divBdr>
            <w:top w:val="none" w:sz="0" w:space="0" w:color="auto"/>
            <w:left w:val="none" w:sz="0" w:space="0" w:color="auto"/>
            <w:bottom w:val="none" w:sz="0" w:space="0" w:color="auto"/>
            <w:right w:val="none" w:sz="0" w:space="0" w:color="auto"/>
          </w:divBdr>
        </w:div>
        <w:div w:id="2065133721">
          <w:marLeft w:val="0"/>
          <w:marRight w:val="0"/>
          <w:marTop w:val="0"/>
          <w:marBottom w:val="0"/>
          <w:divBdr>
            <w:top w:val="none" w:sz="0" w:space="0" w:color="auto"/>
            <w:left w:val="none" w:sz="0" w:space="0" w:color="auto"/>
            <w:bottom w:val="none" w:sz="0" w:space="0" w:color="auto"/>
            <w:right w:val="none" w:sz="0" w:space="0" w:color="auto"/>
          </w:divBdr>
        </w:div>
        <w:div w:id="2146004862">
          <w:marLeft w:val="0"/>
          <w:marRight w:val="0"/>
          <w:marTop w:val="0"/>
          <w:marBottom w:val="0"/>
          <w:divBdr>
            <w:top w:val="none" w:sz="0" w:space="0" w:color="auto"/>
            <w:left w:val="none" w:sz="0" w:space="0" w:color="auto"/>
            <w:bottom w:val="none" w:sz="0" w:space="0" w:color="auto"/>
            <w:right w:val="none" w:sz="0" w:space="0" w:color="auto"/>
          </w:divBdr>
        </w:div>
      </w:divsChild>
    </w:div>
    <w:div w:id="1377121168">
      <w:bodyDiv w:val="1"/>
      <w:marLeft w:val="0"/>
      <w:marRight w:val="0"/>
      <w:marTop w:val="0"/>
      <w:marBottom w:val="0"/>
      <w:divBdr>
        <w:top w:val="none" w:sz="0" w:space="0" w:color="auto"/>
        <w:left w:val="none" w:sz="0" w:space="0" w:color="auto"/>
        <w:bottom w:val="none" w:sz="0" w:space="0" w:color="auto"/>
        <w:right w:val="none" w:sz="0" w:space="0" w:color="auto"/>
      </w:divBdr>
    </w:div>
    <w:div w:id="1377586165">
      <w:bodyDiv w:val="1"/>
      <w:marLeft w:val="0"/>
      <w:marRight w:val="0"/>
      <w:marTop w:val="0"/>
      <w:marBottom w:val="0"/>
      <w:divBdr>
        <w:top w:val="none" w:sz="0" w:space="0" w:color="auto"/>
        <w:left w:val="none" w:sz="0" w:space="0" w:color="auto"/>
        <w:bottom w:val="none" w:sz="0" w:space="0" w:color="auto"/>
        <w:right w:val="none" w:sz="0" w:space="0" w:color="auto"/>
      </w:divBdr>
      <w:divsChild>
        <w:div w:id="165705840">
          <w:marLeft w:val="0"/>
          <w:marRight w:val="0"/>
          <w:marTop w:val="0"/>
          <w:marBottom w:val="0"/>
          <w:divBdr>
            <w:top w:val="none" w:sz="0" w:space="0" w:color="auto"/>
            <w:left w:val="none" w:sz="0" w:space="0" w:color="auto"/>
            <w:bottom w:val="none" w:sz="0" w:space="0" w:color="auto"/>
            <w:right w:val="none" w:sz="0" w:space="0" w:color="auto"/>
          </w:divBdr>
        </w:div>
        <w:div w:id="205220273">
          <w:marLeft w:val="0"/>
          <w:marRight w:val="0"/>
          <w:marTop w:val="0"/>
          <w:marBottom w:val="0"/>
          <w:divBdr>
            <w:top w:val="none" w:sz="0" w:space="0" w:color="auto"/>
            <w:left w:val="none" w:sz="0" w:space="0" w:color="auto"/>
            <w:bottom w:val="none" w:sz="0" w:space="0" w:color="auto"/>
            <w:right w:val="none" w:sz="0" w:space="0" w:color="auto"/>
          </w:divBdr>
        </w:div>
        <w:div w:id="1091198911">
          <w:marLeft w:val="0"/>
          <w:marRight w:val="0"/>
          <w:marTop w:val="0"/>
          <w:marBottom w:val="0"/>
          <w:divBdr>
            <w:top w:val="none" w:sz="0" w:space="0" w:color="auto"/>
            <w:left w:val="none" w:sz="0" w:space="0" w:color="auto"/>
            <w:bottom w:val="none" w:sz="0" w:space="0" w:color="auto"/>
            <w:right w:val="none" w:sz="0" w:space="0" w:color="auto"/>
          </w:divBdr>
        </w:div>
        <w:div w:id="1209803325">
          <w:marLeft w:val="0"/>
          <w:marRight w:val="0"/>
          <w:marTop w:val="0"/>
          <w:marBottom w:val="0"/>
          <w:divBdr>
            <w:top w:val="none" w:sz="0" w:space="0" w:color="auto"/>
            <w:left w:val="none" w:sz="0" w:space="0" w:color="auto"/>
            <w:bottom w:val="none" w:sz="0" w:space="0" w:color="auto"/>
            <w:right w:val="none" w:sz="0" w:space="0" w:color="auto"/>
          </w:divBdr>
        </w:div>
      </w:divsChild>
    </w:div>
    <w:div w:id="1377659294">
      <w:bodyDiv w:val="1"/>
      <w:marLeft w:val="0"/>
      <w:marRight w:val="0"/>
      <w:marTop w:val="0"/>
      <w:marBottom w:val="0"/>
      <w:divBdr>
        <w:top w:val="none" w:sz="0" w:space="0" w:color="auto"/>
        <w:left w:val="none" w:sz="0" w:space="0" w:color="auto"/>
        <w:bottom w:val="none" w:sz="0" w:space="0" w:color="auto"/>
        <w:right w:val="none" w:sz="0" w:space="0" w:color="auto"/>
      </w:divBdr>
    </w:div>
    <w:div w:id="1397820450">
      <w:bodyDiv w:val="1"/>
      <w:marLeft w:val="0"/>
      <w:marRight w:val="0"/>
      <w:marTop w:val="0"/>
      <w:marBottom w:val="0"/>
      <w:divBdr>
        <w:top w:val="none" w:sz="0" w:space="0" w:color="auto"/>
        <w:left w:val="none" w:sz="0" w:space="0" w:color="auto"/>
        <w:bottom w:val="none" w:sz="0" w:space="0" w:color="auto"/>
        <w:right w:val="none" w:sz="0" w:space="0" w:color="auto"/>
      </w:divBdr>
      <w:divsChild>
        <w:div w:id="220749525">
          <w:marLeft w:val="0"/>
          <w:marRight w:val="0"/>
          <w:marTop w:val="0"/>
          <w:marBottom w:val="0"/>
          <w:divBdr>
            <w:top w:val="none" w:sz="0" w:space="0" w:color="auto"/>
            <w:left w:val="none" w:sz="0" w:space="0" w:color="auto"/>
            <w:bottom w:val="none" w:sz="0" w:space="0" w:color="auto"/>
            <w:right w:val="none" w:sz="0" w:space="0" w:color="auto"/>
          </w:divBdr>
        </w:div>
        <w:div w:id="542136607">
          <w:marLeft w:val="0"/>
          <w:marRight w:val="0"/>
          <w:marTop w:val="0"/>
          <w:marBottom w:val="0"/>
          <w:divBdr>
            <w:top w:val="none" w:sz="0" w:space="0" w:color="auto"/>
            <w:left w:val="none" w:sz="0" w:space="0" w:color="auto"/>
            <w:bottom w:val="none" w:sz="0" w:space="0" w:color="auto"/>
            <w:right w:val="none" w:sz="0" w:space="0" w:color="auto"/>
          </w:divBdr>
        </w:div>
        <w:div w:id="889997194">
          <w:marLeft w:val="0"/>
          <w:marRight w:val="0"/>
          <w:marTop w:val="0"/>
          <w:marBottom w:val="0"/>
          <w:divBdr>
            <w:top w:val="none" w:sz="0" w:space="0" w:color="auto"/>
            <w:left w:val="none" w:sz="0" w:space="0" w:color="auto"/>
            <w:bottom w:val="none" w:sz="0" w:space="0" w:color="auto"/>
            <w:right w:val="none" w:sz="0" w:space="0" w:color="auto"/>
          </w:divBdr>
        </w:div>
        <w:div w:id="1108962740">
          <w:marLeft w:val="0"/>
          <w:marRight w:val="0"/>
          <w:marTop w:val="0"/>
          <w:marBottom w:val="0"/>
          <w:divBdr>
            <w:top w:val="none" w:sz="0" w:space="0" w:color="auto"/>
            <w:left w:val="none" w:sz="0" w:space="0" w:color="auto"/>
            <w:bottom w:val="none" w:sz="0" w:space="0" w:color="auto"/>
            <w:right w:val="none" w:sz="0" w:space="0" w:color="auto"/>
          </w:divBdr>
        </w:div>
        <w:div w:id="1239443902">
          <w:marLeft w:val="0"/>
          <w:marRight w:val="0"/>
          <w:marTop w:val="0"/>
          <w:marBottom w:val="0"/>
          <w:divBdr>
            <w:top w:val="none" w:sz="0" w:space="0" w:color="auto"/>
            <w:left w:val="none" w:sz="0" w:space="0" w:color="auto"/>
            <w:bottom w:val="none" w:sz="0" w:space="0" w:color="auto"/>
            <w:right w:val="none" w:sz="0" w:space="0" w:color="auto"/>
          </w:divBdr>
        </w:div>
      </w:divsChild>
    </w:div>
    <w:div w:id="1418093194">
      <w:bodyDiv w:val="1"/>
      <w:marLeft w:val="0"/>
      <w:marRight w:val="0"/>
      <w:marTop w:val="0"/>
      <w:marBottom w:val="0"/>
      <w:divBdr>
        <w:top w:val="none" w:sz="0" w:space="0" w:color="auto"/>
        <w:left w:val="none" w:sz="0" w:space="0" w:color="auto"/>
        <w:bottom w:val="none" w:sz="0" w:space="0" w:color="auto"/>
        <w:right w:val="none" w:sz="0" w:space="0" w:color="auto"/>
      </w:divBdr>
      <w:divsChild>
        <w:div w:id="185674227">
          <w:marLeft w:val="0"/>
          <w:marRight w:val="0"/>
          <w:marTop w:val="0"/>
          <w:marBottom w:val="0"/>
          <w:divBdr>
            <w:top w:val="none" w:sz="0" w:space="0" w:color="auto"/>
            <w:left w:val="none" w:sz="0" w:space="0" w:color="auto"/>
            <w:bottom w:val="none" w:sz="0" w:space="0" w:color="auto"/>
            <w:right w:val="none" w:sz="0" w:space="0" w:color="auto"/>
          </w:divBdr>
        </w:div>
        <w:div w:id="607158084">
          <w:marLeft w:val="0"/>
          <w:marRight w:val="0"/>
          <w:marTop w:val="0"/>
          <w:marBottom w:val="0"/>
          <w:divBdr>
            <w:top w:val="none" w:sz="0" w:space="0" w:color="auto"/>
            <w:left w:val="none" w:sz="0" w:space="0" w:color="auto"/>
            <w:bottom w:val="none" w:sz="0" w:space="0" w:color="auto"/>
            <w:right w:val="none" w:sz="0" w:space="0" w:color="auto"/>
          </w:divBdr>
        </w:div>
        <w:div w:id="1900823157">
          <w:marLeft w:val="0"/>
          <w:marRight w:val="0"/>
          <w:marTop w:val="0"/>
          <w:marBottom w:val="0"/>
          <w:divBdr>
            <w:top w:val="none" w:sz="0" w:space="0" w:color="auto"/>
            <w:left w:val="none" w:sz="0" w:space="0" w:color="auto"/>
            <w:bottom w:val="none" w:sz="0" w:space="0" w:color="auto"/>
            <w:right w:val="none" w:sz="0" w:space="0" w:color="auto"/>
          </w:divBdr>
        </w:div>
      </w:divsChild>
    </w:div>
    <w:div w:id="1418743178">
      <w:bodyDiv w:val="1"/>
      <w:marLeft w:val="0"/>
      <w:marRight w:val="0"/>
      <w:marTop w:val="0"/>
      <w:marBottom w:val="0"/>
      <w:divBdr>
        <w:top w:val="none" w:sz="0" w:space="0" w:color="auto"/>
        <w:left w:val="none" w:sz="0" w:space="0" w:color="auto"/>
        <w:bottom w:val="none" w:sz="0" w:space="0" w:color="auto"/>
        <w:right w:val="none" w:sz="0" w:space="0" w:color="auto"/>
      </w:divBdr>
      <w:divsChild>
        <w:div w:id="163404767">
          <w:marLeft w:val="0"/>
          <w:marRight w:val="0"/>
          <w:marTop w:val="0"/>
          <w:marBottom w:val="0"/>
          <w:divBdr>
            <w:top w:val="none" w:sz="0" w:space="0" w:color="auto"/>
            <w:left w:val="none" w:sz="0" w:space="0" w:color="auto"/>
            <w:bottom w:val="none" w:sz="0" w:space="0" w:color="auto"/>
            <w:right w:val="none" w:sz="0" w:space="0" w:color="auto"/>
          </w:divBdr>
        </w:div>
        <w:div w:id="233205635">
          <w:marLeft w:val="0"/>
          <w:marRight w:val="0"/>
          <w:marTop w:val="0"/>
          <w:marBottom w:val="0"/>
          <w:divBdr>
            <w:top w:val="none" w:sz="0" w:space="0" w:color="auto"/>
            <w:left w:val="none" w:sz="0" w:space="0" w:color="auto"/>
            <w:bottom w:val="none" w:sz="0" w:space="0" w:color="auto"/>
            <w:right w:val="none" w:sz="0" w:space="0" w:color="auto"/>
          </w:divBdr>
        </w:div>
        <w:div w:id="275991036">
          <w:marLeft w:val="0"/>
          <w:marRight w:val="0"/>
          <w:marTop w:val="0"/>
          <w:marBottom w:val="0"/>
          <w:divBdr>
            <w:top w:val="none" w:sz="0" w:space="0" w:color="auto"/>
            <w:left w:val="none" w:sz="0" w:space="0" w:color="auto"/>
            <w:bottom w:val="none" w:sz="0" w:space="0" w:color="auto"/>
            <w:right w:val="none" w:sz="0" w:space="0" w:color="auto"/>
          </w:divBdr>
        </w:div>
        <w:div w:id="316766837">
          <w:marLeft w:val="0"/>
          <w:marRight w:val="0"/>
          <w:marTop w:val="0"/>
          <w:marBottom w:val="0"/>
          <w:divBdr>
            <w:top w:val="none" w:sz="0" w:space="0" w:color="auto"/>
            <w:left w:val="none" w:sz="0" w:space="0" w:color="auto"/>
            <w:bottom w:val="none" w:sz="0" w:space="0" w:color="auto"/>
            <w:right w:val="none" w:sz="0" w:space="0" w:color="auto"/>
          </w:divBdr>
        </w:div>
        <w:div w:id="321280678">
          <w:marLeft w:val="0"/>
          <w:marRight w:val="0"/>
          <w:marTop w:val="0"/>
          <w:marBottom w:val="0"/>
          <w:divBdr>
            <w:top w:val="none" w:sz="0" w:space="0" w:color="auto"/>
            <w:left w:val="none" w:sz="0" w:space="0" w:color="auto"/>
            <w:bottom w:val="none" w:sz="0" w:space="0" w:color="auto"/>
            <w:right w:val="none" w:sz="0" w:space="0" w:color="auto"/>
          </w:divBdr>
        </w:div>
        <w:div w:id="324167088">
          <w:marLeft w:val="0"/>
          <w:marRight w:val="0"/>
          <w:marTop w:val="0"/>
          <w:marBottom w:val="0"/>
          <w:divBdr>
            <w:top w:val="none" w:sz="0" w:space="0" w:color="auto"/>
            <w:left w:val="none" w:sz="0" w:space="0" w:color="auto"/>
            <w:bottom w:val="none" w:sz="0" w:space="0" w:color="auto"/>
            <w:right w:val="none" w:sz="0" w:space="0" w:color="auto"/>
          </w:divBdr>
        </w:div>
        <w:div w:id="330449396">
          <w:marLeft w:val="0"/>
          <w:marRight w:val="0"/>
          <w:marTop w:val="0"/>
          <w:marBottom w:val="0"/>
          <w:divBdr>
            <w:top w:val="none" w:sz="0" w:space="0" w:color="auto"/>
            <w:left w:val="none" w:sz="0" w:space="0" w:color="auto"/>
            <w:bottom w:val="none" w:sz="0" w:space="0" w:color="auto"/>
            <w:right w:val="none" w:sz="0" w:space="0" w:color="auto"/>
          </w:divBdr>
        </w:div>
        <w:div w:id="420567550">
          <w:marLeft w:val="0"/>
          <w:marRight w:val="0"/>
          <w:marTop w:val="0"/>
          <w:marBottom w:val="0"/>
          <w:divBdr>
            <w:top w:val="none" w:sz="0" w:space="0" w:color="auto"/>
            <w:left w:val="none" w:sz="0" w:space="0" w:color="auto"/>
            <w:bottom w:val="none" w:sz="0" w:space="0" w:color="auto"/>
            <w:right w:val="none" w:sz="0" w:space="0" w:color="auto"/>
          </w:divBdr>
        </w:div>
        <w:div w:id="468129072">
          <w:marLeft w:val="0"/>
          <w:marRight w:val="0"/>
          <w:marTop w:val="0"/>
          <w:marBottom w:val="0"/>
          <w:divBdr>
            <w:top w:val="none" w:sz="0" w:space="0" w:color="auto"/>
            <w:left w:val="none" w:sz="0" w:space="0" w:color="auto"/>
            <w:bottom w:val="none" w:sz="0" w:space="0" w:color="auto"/>
            <w:right w:val="none" w:sz="0" w:space="0" w:color="auto"/>
          </w:divBdr>
        </w:div>
        <w:div w:id="490759171">
          <w:marLeft w:val="0"/>
          <w:marRight w:val="0"/>
          <w:marTop w:val="0"/>
          <w:marBottom w:val="0"/>
          <w:divBdr>
            <w:top w:val="none" w:sz="0" w:space="0" w:color="auto"/>
            <w:left w:val="none" w:sz="0" w:space="0" w:color="auto"/>
            <w:bottom w:val="none" w:sz="0" w:space="0" w:color="auto"/>
            <w:right w:val="none" w:sz="0" w:space="0" w:color="auto"/>
          </w:divBdr>
        </w:div>
        <w:div w:id="497382146">
          <w:marLeft w:val="0"/>
          <w:marRight w:val="0"/>
          <w:marTop w:val="0"/>
          <w:marBottom w:val="0"/>
          <w:divBdr>
            <w:top w:val="none" w:sz="0" w:space="0" w:color="auto"/>
            <w:left w:val="none" w:sz="0" w:space="0" w:color="auto"/>
            <w:bottom w:val="none" w:sz="0" w:space="0" w:color="auto"/>
            <w:right w:val="none" w:sz="0" w:space="0" w:color="auto"/>
          </w:divBdr>
        </w:div>
        <w:div w:id="551498467">
          <w:marLeft w:val="0"/>
          <w:marRight w:val="0"/>
          <w:marTop w:val="0"/>
          <w:marBottom w:val="0"/>
          <w:divBdr>
            <w:top w:val="none" w:sz="0" w:space="0" w:color="auto"/>
            <w:left w:val="none" w:sz="0" w:space="0" w:color="auto"/>
            <w:bottom w:val="none" w:sz="0" w:space="0" w:color="auto"/>
            <w:right w:val="none" w:sz="0" w:space="0" w:color="auto"/>
          </w:divBdr>
        </w:div>
        <w:div w:id="567804619">
          <w:marLeft w:val="0"/>
          <w:marRight w:val="0"/>
          <w:marTop w:val="0"/>
          <w:marBottom w:val="0"/>
          <w:divBdr>
            <w:top w:val="none" w:sz="0" w:space="0" w:color="auto"/>
            <w:left w:val="none" w:sz="0" w:space="0" w:color="auto"/>
            <w:bottom w:val="none" w:sz="0" w:space="0" w:color="auto"/>
            <w:right w:val="none" w:sz="0" w:space="0" w:color="auto"/>
          </w:divBdr>
        </w:div>
        <w:div w:id="583035475">
          <w:marLeft w:val="0"/>
          <w:marRight w:val="0"/>
          <w:marTop w:val="0"/>
          <w:marBottom w:val="0"/>
          <w:divBdr>
            <w:top w:val="none" w:sz="0" w:space="0" w:color="auto"/>
            <w:left w:val="none" w:sz="0" w:space="0" w:color="auto"/>
            <w:bottom w:val="none" w:sz="0" w:space="0" w:color="auto"/>
            <w:right w:val="none" w:sz="0" w:space="0" w:color="auto"/>
          </w:divBdr>
        </w:div>
        <w:div w:id="728963224">
          <w:marLeft w:val="0"/>
          <w:marRight w:val="0"/>
          <w:marTop w:val="0"/>
          <w:marBottom w:val="0"/>
          <w:divBdr>
            <w:top w:val="none" w:sz="0" w:space="0" w:color="auto"/>
            <w:left w:val="none" w:sz="0" w:space="0" w:color="auto"/>
            <w:bottom w:val="none" w:sz="0" w:space="0" w:color="auto"/>
            <w:right w:val="none" w:sz="0" w:space="0" w:color="auto"/>
          </w:divBdr>
        </w:div>
        <w:div w:id="787234944">
          <w:marLeft w:val="0"/>
          <w:marRight w:val="0"/>
          <w:marTop w:val="0"/>
          <w:marBottom w:val="0"/>
          <w:divBdr>
            <w:top w:val="none" w:sz="0" w:space="0" w:color="auto"/>
            <w:left w:val="none" w:sz="0" w:space="0" w:color="auto"/>
            <w:bottom w:val="none" w:sz="0" w:space="0" w:color="auto"/>
            <w:right w:val="none" w:sz="0" w:space="0" w:color="auto"/>
          </w:divBdr>
        </w:div>
        <w:div w:id="805977822">
          <w:marLeft w:val="0"/>
          <w:marRight w:val="0"/>
          <w:marTop w:val="0"/>
          <w:marBottom w:val="0"/>
          <w:divBdr>
            <w:top w:val="none" w:sz="0" w:space="0" w:color="auto"/>
            <w:left w:val="none" w:sz="0" w:space="0" w:color="auto"/>
            <w:bottom w:val="none" w:sz="0" w:space="0" w:color="auto"/>
            <w:right w:val="none" w:sz="0" w:space="0" w:color="auto"/>
          </w:divBdr>
        </w:div>
        <w:div w:id="810026679">
          <w:marLeft w:val="0"/>
          <w:marRight w:val="0"/>
          <w:marTop w:val="0"/>
          <w:marBottom w:val="0"/>
          <w:divBdr>
            <w:top w:val="none" w:sz="0" w:space="0" w:color="auto"/>
            <w:left w:val="none" w:sz="0" w:space="0" w:color="auto"/>
            <w:bottom w:val="none" w:sz="0" w:space="0" w:color="auto"/>
            <w:right w:val="none" w:sz="0" w:space="0" w:color="auto"/>
          </w:divBdr>
        </w:div>
        <w:div w:id="814764446">
          <w:marLeft w:val="0"/>
          <w:marRight w:val="0"/>
          <w:marTop w:val="0"/>
          <w:marBottom w:val="0"/>
          <w:divBdr>
            <w:top w:val="none" w:sz="0" w:space="0" w:color="auto"/>
            <w:left w:val="none" w:sz="0" w:space="0" w:color="auto"/>
            <w:bottom w:val="none" w:sz="0" w:space="0" w:color="auto"/>
            <w:right w:val="none" w:sz="0" w:space="0" w:color="auto"/>
          </w:divBdr>
        </w:div>
        <w:div w:id="859129771">
          <w:marLeft w:val="0"/>
          <w:marRight w:val="0"/>
          <w:marTop w:val="0"/>
          <w:marBottom w:val="0"/>
          <w:divBdr>
            <w:top w:val="none" w:sz="0" w:space="0" w:color="auto"/>
            <w:left w:val="none" w:sz="0" w:space="0" w:color="auto"/>
            <w:bottom w:val="none" w:sz="0" w:space="0" w:color="auto"/>
            <w:right w:val="none" w:sz="0" w:space="0" w:color="auto"/>
          </w:divBdr>
        </w:div>
        <w:div w:id="889879750">
          <w:marLeft w:val="0"/>
          <w:marRight w:val="0"/>
          <w:marTop w:val="0"/>
          <w:marBottom w:val="0"/>
          <w:divBdr>
            <w:top w:val="none" w:sz="0" w:space="0" w:color="auto"/>
            <w:left w:val="none" w:sz="0" w:space="0" w:color="auto"/>
            <w:bottom w:val="none" w:sz="0" w:space="0" w:color="auto"/>
            <w:right w:val="none" w:sz="0" w:space="0" w:color="auto"/>
          </w:divBdr>
        </w:div>
        <w:div w:id="954406334">
          <w:marLeft w:val="0"/>
          <w:marRight w:val="0"/>
          <w:marTop w:val="0"/>
          <w:marBottom w:val="0"/>
          <w:divBdr>
            <w:top w:val="none" w:sz="0" w:space="0" w:color="auto"/>
            <w:left w:val="none" w:sz="0" w:space="0" w:color="auto"/>
            <w:bottom w:val="none" w:sz="0" w:space="0" w:color="auto"/>
            <w:right w:val="none" w:sz="0" w:space="0" w:color="auto"/>
          </w:divBdr>
        </w:div>
        <w:div w:id="1028486041">
          <w:marLeft w:val="0"/>
          <w:marRight w:val="0"/>
          <w:marTop w:val="0"/>
          <w:marBottom w:val="0"/>
          <w:divBdr>
            <w:top w:val="none" w:sz="0" w:space="0" w:color="auto"/>
            <w:left w:val="none" w:sz="0" w:space="0" w:color="auto"/>
            <w:bottom w:val="none" w:sz="0" w:space="0" w:color="auto"/>
            <w:right w:val="none" w:sz="0" w:space="0" w:color="auto"/>
          </w:divBdr>
        </w:div>
        <w:div w:id="1037392965">
          <w:marLeft w:val="0"/>
          <w:marRight w:val="0"/>
          <w:marTop w:val="0"/>
          <w:marBottom w:val="0"/>
          <w:divBdr>
            <w:top w:val="none" w:sz="0" w:space="0" w:color="auto"/>
            <w:left w:val="none" w:sz="0" w:space="0" w:color="auto"/>
            <w:bottom w:val="none" w:sz="0" w:space="0" w:color="auto"/>
            <w:right w:val="none" w:sz="0" w:space="0" w:color="auto"/>
          </w:divBdr>
        </w:div>
        <w:div w:id="1066101080">
          <w:marLeft w:val="0"/>
          <w:marRight w:val="0"/>
          <w:marTop w:val="0"/>
          <w:marBottom w:val="0"/>
          <w:divBdr>
            <w:top w:val="none" w:sz="0" w:space="0" w:color="auto"/>
            <w:left w:val="none" w:sz="0" w:space="0" w:color="auto"/>
            <w:bottom w:val="none" w:sz="0" w:space="0" w:color="auto"/>
            <w:right w:val="none" w:sz="0" w:space="0" w:color="auto"/>
          </w:divBdr>
        </w:div>
        <w:div w:id="1098142514">
          <w:marLeft w:val="0"/>
          <w:marRight w:val="0"/>
          <w:marTop w:val="0"/>
          <w:marBottom w:val="0"/>
          <w:divBdr>
            <w:top w:val="none" w:sz="0" w:space="0" w:color="auto"/>
            <w:left w:val="none" w:sz="0" w:space="0" w:color="auto"/>
            <w:bottom w:val="none" w:sz="0" w:space="0" w:color="auto"/>
            <w:right w:val="none" w:sz="0" w:space="0" w:color="auto"/>
          </w:divBdr>
        </w:div>
        <w:div w:id="1128157386">
          <w:marLeft w:val="0"/>
          <w:marRight w:val="0"/>
          <w:marTop w:val="0"/>
          <w:marBottom w:val="0"/>
          <w:divBdr>
            <w:top w:val="none" w:sz="0" w:space="0" w:color="auto"/>
            <w:left w:val="none" w:sz="0" w:space="0" w:color="auto"/>
            <w:bottom w:val="none" w:sz="0" w:space="0" w:color="auto"/>
            <w:right w:val="none" w:sz="0" w:space="0" w:color="auto"/>
          </w:divBdr>
        </w:div>
        <w:div w:id="1282955086">
          <w:marLeft w:val="0"/>
          <w:marRight w:val="0"/>
          <w:marTop w:val="0"/>
          <w:marBottom w:val="0"/>
          <w:divBdr>
            <w:top w:val="none" w:sz="0" w:space="0" w:color="auto"/>
            <w:left w:val="none" w:sz="0" w:space="0" w:color="auto"/>
            <w:bottom w:val="none" w:sz="0" w:space="0" w:color="auto"/>
            <w:right w:val="none" w:sz="0" w:space="0" w:color="auto"/>
          </w:divBdr>
        </w:div>
        <w:div w:id="1309940256">
          <w:marLeft w:val="0"/>
          <w:marRight w:val="0"/>
          <w:marTop w:val="0"/>
          <w:marBottom w:val="0"/>
          <w:divBdr>
            <w:top w:val="none" w:sz="0" w:space="0" w:color="auto"/>
            <w:left w:val="none" w:sz="0" w:space="0" w:color="auto"/>
            <w:bottom w:val="none" w:sz="0" w:space="0" w:color="auto"/>
            <w:right w:val="none" w:sz="0" w:space="0" w:color="auto"/>
          </w:divBdr>
        </w:div>
        <w:div w:id="1374424656">
          <w:marLeft w:val="0"/>
          <w:marRight w:val="0"/>
          <w:marTop w:val="0"/>
          <w:marBottom w:val="0"/>
          <w:divBdr>
            <w:top w:val="none" w:sz="0" w:space="0" w:color="auto"/>
            <w:left w:val="none" w:sz="0" w:space="0" w:color="auto"/>
            <w:bottom w:val="none" w:sz="0" w:space="0" w:color="auto"/>
            <w:right w:val="none" w:sz="0" w:space="0" w:color="auto"/>
          </w:divBdr>
        </w:div>
        <w:div w:id="1424296458">
          <w:marLeft w:val="0"/>
          <w:marRight w:val="0"/>
          <w:marTop w:val="0"/>
          <w:marBottom w:val="0"/>
          <w:divBdr>
            <w:top w:val="none" w:sz="0" w:space="0" w:color="auto"/>
            <w:left w:val="none" w:sz="0" w:space="0" w:color="auto"/>
            <w:bottom w:val="none" w:sz="0" w:space="0" w:color="auto"/>
            <w:right w:val="none" w:sz="0" w:space="0" w:color="auto"/>
          </w:divBdr>
        </w:div>
        <w:div w:id="1434403557">
          <w:marLeft w:val="0"/>
          <w:marRight w:val="0"/>
          <w:marTop w:val="0"/>
          <w:marBottom w:val="0"/>
          <w:divBdr>
            <w:top w:val="none" w:sz="0" w:space="0" w:color="auto"/>
            <w:left w:val="none" w:sz="0" w:space="0" w:color="auto"/>
            <w:bottom w:val="none" w:sz="0" w:space="0" w:color="auto"/>
            <w:right w:val="none" w:sz="0" w:space="0" w:color="auto"/>
          </w:divBdr>
        </w:div>
        <w:div w:id="1461338063">
          <w:marLeft w:val="0"/>
          <w:marRight w:val="0"/>
          <w:marTop w:val="0"/>
          <w:marBottom w:val="0"/>
          <w:divBdr>
            <w:top w:val="none" w:sz="0" w:space="0" w:color="auto"/>
            <w:left w:val="none" w:sz="0" w:space="0" w:color="auto"/>
            <w:bottom w:val="none" w:sz="0" w:space="0" w:color="auto"/>
            <w:right w:val="none" w:sz="0" w:space="0" w:color="auto"/>
          </w:divBdr>
        </w:div>
        <w:div w:id="1497958513">
          <w:marLeft w:val="0"/>
          <w:marRight w:val="0"/>
          <w:marTop w:val="0"/>
          <w:marBottom w:val="0"/>
          <w:divBdr>
            <w:top w:val="none" w:sz="0" w:space="0" w:color="auto"/>
            <w:left w:val="none" w:sz="0" w:space="0" w:color="auto"/>
            <w:bottom w:val="none" w:sz="0" w:space="0" w:color="auto"/>
            <w:right w:val="none" w:sz="0" w:space="0" w:color="auto"/>
          </w:divBdr>
        </w:div>
        <w:div w:id="1500151239">
          <w:marLeft w:val="0"/>
          <w:marRight w:val="0"/>
          <w:marTop w:val="0"/>
          <w:marBottom w:val="0"/>
          <w:divBdr>
            <w:top w:val="none" w:sz="0" w:space="0" w:color="auto"/>
            <w:left w:val="none" w:sz="0" w:space="0" w:color="auto"/>
            <w:bottom w:val="none" w:sz="0" w:space="0" w:color="auto"/>
            <w:right w:val="none" w:sz="0" w:space="0" w:color="auto"/>
          </w:divBdr>
        </w:div>
        <w:div w:id="1574312686">
          <w:marLeft w:val="0"/>
          <w:marRight w:val="0"/>
          <w:marTop w:val="0"/>
          <w:marBottom w:val="0"/>
          <w:divBdr>
            <w:top w:val="none" w:sz="0" w:space="0" w:color="auto"/>
            <w:left w:val="none" w:sz="0" w:space="0" w:color="auto"/>
            <w:bottom w:val="none" w:sz="0" w:space="0" w:color="auto"/>
            <w:right w:val="none" w:sz="0" w:space="0" w:color="auto"/>
          </w:divBdr>
        </w:div>
        <w:div w:id="1670715893">
          <w:marLeft w:val="0"/>
          <w:marRight w:val="0"/>
          <w:marTop w:val="0"/>
          <w:marBottom w:val="0"/>
          <w:divBdr>
            <w:top w:val="none" w:sz="0" w:space="0" w:color="auto"/>
            <w:left w:val="none" w:sz="0" w:space="0" w:color="auto"/>
            <w:bottom w:val="none" w:sz="0" w:space="0" w:color="auto"/>
            <w:right w:val="none" w:sz="0" w:space="0" w:color="auto"/>
          </w:divBdr>
        </w:div>
        <w:div w:id="1741556937">
          <w:marLeft w:val="0"/>
          <w:marRight w:val="0"/>
          <w:marTop w:val="0"/>
          <w:marBottom w:val="0"/>
          <w:divBdr>
            <w:top w:val="none" w:sz="0" w:space="0" w:color="auto"/>
            <w:left w:val="none" w:sz="0" w:space="0" w:color="auto"/>
            <w:bottom w:val="none" w:sz="0" w:space="0" w:color="auto"/>
            <w:right w:val="none" w:sz="0" w:space="0" w:color="auto"/>
          </w:divBdr>
        </w:div>
        <w:div w:id="1768428383">
          <w:marLeft w:val="0"/>
          <w:marRight w:val="0"/>
          <w:marTop w:val="0"/>
          <w:marBottom w:val="0"/>
          <w:divBdr>
            <w:top w:val="none" w:sz="0" w:space="0" w:color="auto"/>
            <w:left w:val="none" w:sz="0" w:space="0" w:color="auto"/>
            <w:bottom w:val="none" w:sz="0" w:space="0" w:color="auto"/>
            <w:right w:val="none" w:sz="0" w:space="0" w:color="auto"/>
          </w:divBdr>
        </w:div>
        <w:div w:id="1790926023">
          <w:marLeft w:val="0"/>
          <w:marRight w:val="0"/>
          <w:marTop w:val="0"/>
          <w:marBottom w:val="0"/>
          <w:divBdr>
            <w:top w:val="none" w:sz="0" w:space="0" w:color="auto"/>
            <w:left w:val="none" w:sz="0" w:space="0" w:color="auto"/>
            <w:bottom w:val="none" w:sz="0" w:space="0" w:color="auto"/>
            <w:right w:val="none" w:sz="0" w:space="0" w:color="auto"/>
          </w:divBdr>
        </w:div>
        <w:div w:id="1843355646">
          <w:marLeft w:val="0"/>
          <w:marRight w:val="0"/>
          <w:marTop w:val="0"/>
          <w:marBottom w:val="0"/>
          <w:divBdr>
            <w:top w:val="none" w:sz="0" w:space="0" w:color="auto"/>
            <w:left w:val="none" w:sz="0" w:space="0" w:color="auto"/>
            <w:bottom w:val="none" w:sz="0" w:space="0" w:color="auto"/>
            <w:right w:val="none" w:sz="0" w:space="0" w:color="auto"/>
          </w:divBdr>
        </w:div>
        <w:div w:id="1862626994">
          <w:marLeft w:val="0"/>
          <w:marRight w:val="0"/>
          <w:marTop w:val="0"/>
          <w:marBottom w:val="0"/>
          <w:divBdr>
            <w:top w:val="none" w:sz="0" w:space="0" w:color="auto"/>
            <w:left w:val="none" w:sz="0" w:space="0" w:color="auto"/>
            <w:bottom w:val="none" w:sz="0" w:space="0" w:color="auto"/>
            <w:right w:val="none" w:sz="0" w:space="0" w:color="auto"/>
          </w:divBdr>
        </w:div>
        <w:div w:id="1883707518">
          <w:marLeft w:val="0"/>
          <w:marRight w:val="0"/>
          <w:marTop w:val="0"/>
          <w:marBottom w:val="0"/>
          <w:divBdr>
            <w:top w:val="none" w:sz="0" w:space="0" w:color="auto"/>
            <w:left w:val="none" w:sz="0" w:space="0" w:color="auto"/>
            <w:bottom w:val="none" w:sz="0" w:space="0" w:color="auto"/>
            <w:right w:val="none" w:sz="0" w:space="0" w:color="auto"/>
          </w:divBdr>
        </w:div>
        <w:div w:id="1888298851">
          <w:marLeft w:val="0"/>
          <w:marRight w:val="0"/>
          <w:marTop w:val="0"/>
          <w:marBottom w:val="0"/>
          <w:divBdr>
            <w:top w:val="none" w:sz="0" w:space="0" w:color="auto"/>
            <w:left w:val="none" w:sz="0" w:space="0" w:color="auto"/>
            <w:bottom w:val="none" w:sz="0" w:space="0" w:color="auto"/>
            <w:right w:val="none" w:sz="0" w:space="0" w:color="auto"/>
          </w:divBdr>
        </w:div>
        <w:div w:id="1975720636">
          <w:marLeft w:val="0"/>
          <w:marRight w:val="0"/>
          <w:marTop w:val="0"/>
          <w:marBottom w:val="0"/>
          <w:divBdr>
            <w:top w:val="none" w:sz="0" w:space="0" w:color="auto"/>
            <w:left w:val="none" w:sz="0" w:space="0" w:color="auto"/>
            <w:bottom w:val="none" w:sz="0" w:space="0" w:color="auto"/>
            <w:right w:val="none" w:sz="0" w:space="0" w:color="auto"/>
          </w:divBdr>
        </w:div>
        <w:div w:id="2003389599">
          <w:marLeft w:val="0"/>
          <w:marRight w:val="0"/>
          <w:marTop w:val="0"/>
          <w:marBottom w:val="0"/>
          <w:divBdr>
            <w:top w:val="none" w:sz="0" w:space="0" w:color="auto"/>
            <w:left w:val="none" w:sz="0" w:space="0" w:color="auto"/>
            <w:bottom w:val="none" w:sz="0" w:space="0" w:color="auto"/>
            <w:right w:val="none" w:sz="0" w:space="0" w:color="auto"/>
          </w:divBdr>
        </w:div>
        <w:div w:id="2042626191">
          <w:marLeft w:val="0"/>
          <w:marRight w:val="0"/>
          <w:marTop w:val="0"/>
          <w:marBottom w:val="0"/>
          <w:divBdr>
            <w:top w:val="none" w:sz="0" w:space="0" w:color="auto"/>
            <w:left w:val="none" w:sz="0" w:space="0" w:color="auto"/>
            <w:bottom w:val="none" w:sz="0" w:space="0" w:color="auto"/>
            <w:right w:val="none" w:sz="0" w:space="0" w:color="auto"/>
          </w:divBdr>
        </w:div>
        <w:div w:id="2068187911">
          <w:marLeft w:val="0"/>
          <w:marRight w:val="0"/>
          <w:marTop w:val="0"/>
          <w:marBottom w:val="0"/>
          <w:divBdr>
            <w:top w:val="none" w:sz="0" w:space="0" w:color="auto"/>
            <w:left w:val="none" w:sz="0" w:space="0" w:color="auto"/>
            <w:bottom w:val="none" w:sz="0" w:space="0" w:color="auto"/>
            <w:right w:val="none" w:sz="0" w:space="0" w:color="auto"/>
          </w:divBdr>
        </w:div>
        <w:div w:id="2111660308">
          <w:marLeft w:val="0"/>
          <w:marRight w:val="0"/>
          <w:marTop w:val="0"/>
          <w:marBottom w:val="0"/>
          <w:divBdr>
            <w:top w:val="none" w:sz="0" w:space="0" w:color="auto"/>
            <w:left w:val="none" w:sz="0" w:space="0" w:color="auto"/>
            <w:bottom w:val="none" w:sz="0" w:space="0" w:color="auto"/>
            <w:right w:val="none" w:sz="0" w:space="0" w:color="auto"/>
          </w:divBdr>
        </w:div>
        <w:div w:id="2118523876">
          <w:marLeft w:val="0"/>
          <w:marRight w:val="0"/>
          <w:marTop w:val="0"/>
          <w:marBottom w:val="0"/>
          <w:divBdr>
            <w:top w:val="none" w:sz="0" w:space="0" w:color="auto"/>
            <w:left w:val="none" w:sz="0" w:space="0" w:color="auto"/>
            <w:bottom w:val="none" w:sz="0" w:space="0" w:color="auto"/>
            <w:right w:val="none" w:sz="0" w:space="0" w:color="auto"/>
          </w:divBdr>
        </w:div>
        <w:div w:id="2122796638">
          <w:marLeft w:val="0"/>
          <w:marRight w:val="0"/>
          <w:marTop w:val="0"/>
          <w:marBottom w:val="0"/>
          <w:divBdr>
            <w:top w:val="none" w:sz="0" w:space="0" w:color="auto"/>
            <w:left w:val="none" w:sz="0" w:space="0" w:color="auto"/>
            <w:bottom w:val="none" w:sz="0" w:space="0" w:color="auto"/>
            <w:right w:val="none" w:sz="0" w:space="0" w:color="auto"/>
          </w:divBdr>
        </w:div>
      </w:divsChild>
    </w:div>
    <w:div w:id="1425613956">
      <w:bodyDiv w:val="1"/>
      <w:marLeft w:val="0"/>
      <w:marRight w:val="0"/>
      <w:marTop w:val="0"/>
      <w:marBottom w:val="0"/>
      <w:divBdr>
        <w:top w:val="none" w:sz="0" w:space="0" w:color="auto"/>
        <w:left w:val="none" w:sz="0" w:space="0" w:color="auto"/>
        <w:bottom w:val="none" w:sz="0" w:space="0" w:color="auto"/>
        <w:right w:val="none" w:sz="0" w:space="0" w:color="auto"/>
      </w:divBdr>
      <w:divsChild>
        <w:div w:id="1694696210">
          <w:marLeft w:val="0"/>
          <w:marRight w:val="0"/>
          <w:marTop w:val="0"/>
          <w:marBottom w:val="0"/>
          <w:divBdr>
            <w:top w:val="none" w:sz="0" w:space="0" w:color="auto"/>
            <w:left w:val="none" w:sz="0" w:space="0" w:color="auto"/>
            <w:bottom w:val="none" w:sz="0" w:space="0" w:color="auto"/>
            <w:right w:val="none" w:sz="0" w:space="0" w:color="auto"/>
          </w:divBdr>
        </w:div>
        <w:div w:id="2120484810">
          <w:marLeft w:val="0"/>
          <w:marRight w:val="0"/>
          <w:marTop w:val="0"/>
          <w:marBottom w:val="0"/>
          <w:divBdr>
            <w:top w:val="none" w:sz="0" w:space="0" w:color="auto"/>
            <w:left w:val="none" w:sz="0" w:space="0" w:color="auto"/>
            <w:bottom w:val="none" w:sz="0" w:space="0" w:color="auto"/>
            <w:right w:val="none" w:sz="0" w:space="0" w:color="auto"/>
          </w:divBdr>
        </w:div>
      </w:divsChild>
    </w:div>
    <w:div w:id="1435831910">
      <w:bodyDiv w:val="1"/>
      <w:marLeft w:val="0"/>
      <w:marRight w:val="0"/>
      <w:marTop w:val="0"/>
      <w:marBottom w:val="0"/>
      <w:divBdr>
        <w:top w:val="none" w:sz="0" w:space="0" w:color="auto"/>
        <w:left w:val="none" w:sz="0" w:space="0" w:color="auto"/>
        <w:bottom w:val="none" w:sz="0" w:space="0" w:color="auto"/>
        <w:right w:val="none" w:sz="0" w:space="0" w:color="auto"/>
      </w:divBdr>
    </w:div>
    <w:div w:id="1456407005">
      <w:bodyDiv w:val="1"/>
      <w:marLeft w:val="0"/>
      <w:marRight w:val="0"/>
      <w:marTop w:val="0"/>
      <w:marBottom w:val="0"/>
      <w:divBdr>
        <w:top w:val="none" w:sz="0" w:space="0" w:color="auto"/>
        <w:left w:val="none" w:sz="0" w:space="0" w:color="auto"/>
        <w:bottom w:val="none" w:sz="0" w:space="0" w:color="auto"/>
        <w:right w:val="none" w:sz="0" w:space="0" w:color="auto"/>
      </w:divBdr>
      <w:divsChild>
        <w:div w:id="982731970">
          <w:marLeft w:val="274"/>
          <w:marRight w:val="0"/>
          <w:marTop w:val="120"/>
          <w:marBottom w:val="120"/>
          <w:divBdr>
            <w:top w:val="none" w:sz="0" w:space="0" w:color="auto"/>
            <w:left w:val="none" w:sz="0" w:space="0" w:color="auto"/>
            <w:bottom w:val="none" w:sz="0" w:space="0" w:color="auto"/>
            <w:right w:val="none" w:sz="0" w:space="0" w:color="auto"/>
          </w:divBdr>
        </w:div>
        <w:div w:id="1394740651">
          <w:marLeft w:val="274"/>
          <w:marRight w:val="0"/>
          <w:marTop w:val="120"/>
          <w:marBottom w:val="120"/>
          <w:divBdr>
            <w:top w:val="none" w:sz="0" w:space="0" w:color="auto"/>
            <w:left w:val="none" w:sz="0" w:space="0" w:color="auto"/>
            <w:bottom w:val="none" w:sz="0" w:space="0" w:color="auto"/>
            <w:right w:val="none" w:sz="0" w:space="0" w:color="auto"/>
          </w:divBdr>
        </w:div>
      </w:divsChild>
    </w:div>
    <w:div w:id="1459641904">
      <w:bodyDiv w:val="1"/>
      <w:marLeft w:val="0"/>
      <w:marRight w:val="0"/>
      <w:marTop w:val="0"/>
      <w:marBottom w:val="0"/>
      <w:divBdr>
        <w:top w:val="none" w:sz="0" w:space="0" w:color="auto"/>
        <w:left w:val="none" w:sz="0" w:space="0" w:color="auto"/>
        <w:bottom w:val="none" w:sz="0" w:space="0" w:color="auto"/>
        <w:right w:val="none" w:sz="0" w:space="0" w:color="auto"/>
      </w:divBdr>
    </w:div>
    <w:div w:id="1474828313">
      <w:bodyDiv w:val="1"/>
      <w:marLeft w:val="0"/>
      <w:marRight w:val="0"/>
      <w:marTop w:val="0"/>
      <w:marBottom w:val="0"/>
      <w:divBdr>
        <w:top w:val="none" w:sz="0" w:space="0" w:color="auto"/>
        <w:left w:val="none" w:sz="0" w:space="0" w:color="auto"/>
        <w:bottom w:val="none" w:sz="0" w:space="0" w:color="auto"/>
        <w:right w:val="none" w:sz="0" w:space="0" w:color="auto"/>
      </w:divBdr>
      <w:divsChild>
        <w:div w:id="28456192">
          <w:marLeft w:val="0"/>
          <w:marRight w:val="0"/>
          <w:marTop w:val="0"/>
          <w:marBottom w:val="0"/>
          <w:divBdr>
            <w:top w:val="none" w:sz="0" w:space="0" w:color="auto"/>
            <w:left w:val="none" w:sz="0" w:space="0" w:color="auto"/>
            <w:bottom w:val="none" w:sz="0" w:space="0" w:color="auto"/>
            <w:right w:val="none" w:sz="0" w:space="0" w:color="auto"/>
          </w:divBdr>
        </w:div>
        <w:div w:id="177894926">
          <w:marLeft w:val="0"/>
          <w:marRight w:val="0"/>
          <w:marTop w:val="0"/>
          <w:marBottom w:val="0"/>
          <w:divBdr>
            <w:top w:val="none" w:sz="0" w:space="0" w:color="auto"/>
            <w:left w:val="none" w:sz="0" w:space="0" w:color="auto"/>
            <w:bottom w:val="none" w:sz="0" w:space="0" w:color="auto"/>
            <w:right w:val="none" w:sz="0" w:space="0" w:color="auto"/>
          </w:divBdr>
        </w:div>
        <w:div w:id="203098607">
          <w:marLeft w:val="0"/>
          <w:marRight w:val="0"/>
          <w:marTop w:val="0"/>
          <w:marBottom w:val="0"/>
          <w:divBdr>
            <w:top w:val="none" w:sz="0" w:space="0" w:color="auto"/>
            <w:left w:val="none" w:sz="0" w:space="0" w:color="auto"/>
            <w:bottom w:val="none" w:sz="0" w:space="0" w:color="auto"/>
            <w:right w:val="none" w:sz="0" w:space="0" w:color="auto"/>
          </w:divBdr>
        </w:div>
        <w:div w:id="282884282">
          <w:marLeft w:val="0"/>
          <w:marRight w:val="0"/>
          <w:marTop w:val="0"/>
          <w:marBottom w:val="0"/>
          <w:divBdr>
            <w:top w:val="none" w:sz="0" w:space="0" w:color="auto"/>
            <w:left w:val="none" w:sz="0" w:space="0" w:color="auto"/>
            <w:bottom w:val="none" w:sz="0" w:space="0" w:color="auto"/>
            <w:right w:val="none" w:sz="0" w:space="0" w:color="auto"/>
          </w:divBdr>
        </w:div>
        <w:div w:id="356395532">
          <w:marLeft w:val="0"/>
          <w:marRight w:val="0"/>
          <w:marTop w:val="0"/>
          <w:marBottom w:val="0"/>
          <w:divBdr>
            <w:top w:val="none" w:sz="0" w:space="0" w:color="auto"/>
            <w:left w:val="none" w:sz="0" w:space="0" w:color="auto"/>
            <w:bottom w:val="none" w:sz="0" w:space="0" w:color="auto"/>
            <w:right w:val="none" w:sz="0" w:space="0" w:color="auto"/>
          </w:divBdr>
        </w:div>
        <w:div w:id="372273887">
          <w:marLeft w:val="0"/>
          <w:marRight w:val="0"/>
          <w:marTop w:val="0"/>
          <w:marBottom w:val="0"/>
          <w:divBdr>
            <w:top w:val="none" w:sz="0" w:space="0" w:color="auto"/>
            <w:left w:val="none" w:sz="0" w:space="0" w:color="auto"/>
            <w:bottom w:val="none" w:sz="0" w:space="0" w:color="auto"/>
            <w:right w:val="none" w:sz="0" w:space="0" w:color="auto"/>
          </w:divBdr>
        </w:div>
        <w:div w:id="392435238">
          <w:marLeft w:val="0"/>
          <w:marRight w:val="0"/>
          <w:marTop w:val="0"/>
          <w:marBottom w:val="0"/>
          <w:divBdr>
            <w:top w:val="none" w:sz="0" w:space="0" w:color="auto"/>
            <w:left w:val="none" w:sz="0" w:space="0" w:color="auto"/>
            <w:bottom w:val="none" w:sz="0" w:space="0" w:color="auto"/>
            <w:right w:val="none" w:sz="0" w:space="0" w:color="auto"/>
          </w:divBdr>
        </w:div>
        <w:div w:id="411119594">
          <w:marLeft w:val="0"/>
          <w:marRight w:val="0"/>
          <w:marTop w:val="0"/>
          <w:marBottom w:val="0"/>
          <w:divBdr>
            <w:top w:val="none" w:sz="0" w:space="0" w:color="auto"/>
            <w:left w:val="none" w:sz="0" w:space="0" w:color="auto"/>
            <w:bottom w:val="none" w:sz="0" w:space="0" w:color="auto"/>
            <w:right w:val="none" w:sz="0" w:space="0" w:color="auto"/>
          </w:divBdr>
        </w:div>
        <w:div w:id="465511417">
          <w:marLeft w:val="0"/>
          <w:marRight w:val="0"/>
          <w:marTop w:val="0"/>
          <w:marBottom w:val="0"/>
          <w:divBdr>
            <w:top w:val="none" w:sz="0" w:space="0" w:color="auto"/>
            <w:left w:val="none" w:sz="0" w:space="0" w:color="auto"/>
            <w:bottom w:val="none" w:sz="0" w:space="0" w:color="auto"/>
            <w:right w:val="none" w:sz="0" w:space="0" w:color="auto"/>
          </w:divBdr>
        </w:div>
        <w:div w:id="489911460">
          <w:marLeft w:val="0"/>
          <w:marRight w:val="0"/>
          <w:marTop w:val="0"/>
          <w:marBottom w:val="0"/>
          <w:divBdr>
            <w:top w:val="none" w:sz="0" w:space="0" w:color="auto"/>
            <w:left w:val="none" w:sz="0" w:space="0" w:color="auto"/>
            <w:bottom w:val="none" w:sz="0" w:space="0" w:color="auto"/>
            <w:right w:val="none" w:sz="0" w:space="0" w:color="auto"/>
          </w:divBdr>
        </w:div>
        <w:div w:id="509681173">
          <w:marLeft w:val="0"/>
          <w:marRight w:val="0"/>
          <w:marTop w:val="0"/>
          <w:marBottom w:val="0"/>
          <w:divBdr>
            <w:top w:val="none" w:sz="0" w:space="0" w:color="auto"/>
            <w:left w:val="none" w:sz="0" w:space="0" w:color="auto"/>
            <w:bottom w:val="none" w:sz="0" w:space="0" w:color="auto"/>
            <w:right w:val="none" w:sz="0" w:space="0" w:color="auto"/>
          </w:divBdr>
        </w:div>
        <w:div w:id="556668500">
          <w:marLeft w:val="0"/>
          <w:marRight w:val="0"/>
          <w:marTop w:val="0"/>
          <w:marBottom w:val="0"/>
          <w:divBdr>
            <w:top w:val="none" w:sz="0" w:space="0" w:color="auto"/>
            <w:left w:val="none" w:sz="0" w:space="0" w:color="auto"/>
            <w:bottom w:val="none" w:sz="0" w:space="0" w:color="auto"/>
            <w:right w:val="none" w:sz="0" w:space="0" w:color="auto"/>
          </w:divBdr>
        </w:div>
        <w:div w:id="632099350">
          <w:marLeft w:val="0"/>
          <w:marRight w:val="0"/>
          <w:marTop w:val="0"/>
          <w:marBottom w:val="0"/>
          <w:divBdr>
            <w:top w:val="none" w:sz="0" w:space="0" w:color="auto"/>
            <w:left w:val="none" w:sz="0" w:space="0" w:color="auto"/>
            <w:bottom w:val="none" w:sz="0" w:space="0" w:color="auto"/>
            <w:right w:val="none" w:sz="0" w:space="0" w:color="auto"/>
          </w:divBdr>
        </w:div>
        <w:div w:id="644706040">
          <w:marLeft w:val="0"/>
          <w:marRight w:val="0"/>
          <w:marTop w:val="0"/>
          <w:marBottom w:val="0"/>
          <w:divBdr>
            <w:top w:val="none" w:sz="0" w:space="0" w:color="auto"/>
            <w:left w:val="none" w:sz="0" w:space="0" w:color="auto"/>
            <w:bottom w:val="none" w:sz="0" w:space="0" w:color="auto"/>
            <w:right w:val="none" w:sz="0" w:space="0" w:color="auto"/>
          </w:divBdr>
        </w:div>
        <w:div w:id="659237860">
          <w:marLeft w:val="0"/>
          <w:marRight w:val="0"/>
          <w:marTop w:val="0"/>
          <w:marBottom w:val="0"/>
          <w:divBdr>
            <w:top w:val="none" w:sz="0" w:space="0" w:color="auto"/>
            <w:left w:val="none" w:sz="0" w:space="0" w:color="auto"/>
            <w:bottom w:val="none" w:sz="0" w:space="0" w:color="auto"/>
            <w:right w:val="none" w:sz="0" w:space="0" w:color="auto"/>
          </w:divBdr>
        </w:div>
        <w:div w:id="670714569">
          <w:marLeft w:val="0"/>
          <w:marRight w:val="0"/>
          <w:marTop w:val="0"/>
          <w:marBottom w:val="0"/>
          <w:divBdr>
            <w:top w:val="none" w:sz="0" w:space="0" w:color="auto"/>
            <w:left w:val="none" w:sz="0" w:space="0" w:color="auto"/>
            <w:bottom w:val="none" w:sz="0" w:space="0" w:color="auto"/>
            <w:right w:val="none" w:sz="0" w:space="0" w:color="auto"/>
          </w:divBdr>
        </w:div>
        <w:div w:id="671684180">
          <w:marLeft w:val="0"/>
          <w:marRight w:val="0"/>
          <w:marTop w:val="0"/>
          <w:marBottom w:val="0"/>
          <w:divBdr>
            <w:top w:val="none" w:sz="0" w:space="0" w:color="auto"/>
            <w:left w:val="none" w:sz="0" w:space="0" w:color="auto"/>
            <w:bottom w:val="none" w:sz="0" w:space="0" w:color="auto"/>
            <w:right w:val="none" w:sz="0" w:space="0" w:color="auto"/>
          </w:divBdr>
        </w:div>
        <w:div w:id="685328593">
          <w:marLeft w:val="0"/>
          <w:marRight w:val="0"/>
          <w:marTop w:val="0"/>
          <w:marBottom w:val="0"/>
          <w:divBdr>
            <w:top w:val="none" w:sz="0" w:space="0" w:color="auto"/>
            <w:left w:val="none" w:sz="0" w:space="0" w:color="auto"/>
            <w:bottom w:val="none" w:sz="0" w:space="0" w:color="auto"/>
            <w:right w:val="none" w:sz="0" w:space="0" w:color="auto"/>
          </w:divBdr>
        </w:div>
        <w:div w:id="705763026">
          <w:marLeft w:val="0"/>
          <w:marRight w:val="0"/>
          <w:marTop w:val="0"/>
          <w:marBottom w:val="0"/>
          <w:divBdr>
            <w:top w:val="none" w:sz="0" w:space="0" w:color="auto"/>
            <w:left w:val="none" w:sz="0" w:space="0" w:color="auto"/>
            <w:bottom w:val="none" w:sz="0" w:space="0" w:color="auto"/>
            <w:right w:val="none" w:sz="0" w:space="0" w:color="auto"/>
          </w:divBdr>
        </w:div>
        <w:div w:id="808867419">
          <w:marLeft w:val="0"/>
          <w:marRight w:val="0"/>
          <w:marTop w:val="0"/>
          <w:marBottom w:val="0"/>
          <w:divBdr>
            <w:top w:val="none" w:sz="0" w:space="0" w:color="auto"/>
            <w:left w:val="none" w:sz="0" w:space="0" w:color="auto"/>
            <w:bottom w:val="none" w:sz="0" w:space="0" w:color="auto"/>
            <w:right w:val="none" w:sz="0" w:space="0" w:color="auto"/>
          </w:divBdr>
        </w:div>
        <w:div w:id="832768547">
          <w:marLeft w:val="0"/>
          <w:marRight w:val="0"/>
          <w:marTop w:val="0"/>
          <w:marBottom w:val="0"/>
          <w:divBdr>
            <w:top w:val="none" w:sz="0" w:space="0" w:color="auto"/>
            <w:left w:val="none" w:sz="0" w:space="0" w:color="auto"/>
            <w:bottom w:val="none" w:sz="0" w:space="0" w:color="auto"/>
            <w:right w:val="none" w:sz="0" w:space="0" w:color="auto"/>
          </w:divBdr>
        </w:div>
        <w:div w:id="837693992">
          <w:marLeft w:val="0"/>
          <w:marRight w:val="0"/>
          <w:marTop w:val="0"/>
          <w:marBottom w:val="0"/>
          <w:divBdr>
            <w:top w:val="none" w:sz="0" w:space="0" w:color="auto"/>
            <w:left w:val="none" w:sz="0" w:space="0" w:color="auto"/>
            <w:bottom w:val="none" w:sz="0" w:space="0" w:color="auto"/>
            <w:right w:val="none" w:sz="0" w:space="0" w:color="auto"/>
          </w:divBdr>
        </w:div>
        <w:div w:id="852187342">
          <w:marLeft w:val="0"/>
          <w:marRight w:val="0"/>
          <w:marTop w:val="0"/>
          <w:marBottom w:val="0"/>
          <w:divBdr>
            <w:top w:val="none" w:sz="0" w:space="0" w:color="auto"/>
            <w:left w:val="none" w:sz="0" w:space="0" w:color="auto"/>
            <w:bottom w:val="none" w:sz="0" w:space="0" w:color="auto"/>
            <w:right w:val="none" w:sz="0" w:space="0" w:color="auto"/>
          </w:divBdr>
        </w:div>
        <w:div w:id="885333560">
          <w:marLeft w:val="0"/>
          <w:marRight w:val="0"/>
          <w:marTop w:val="0"/>
          <w:marBottom w:val="0"/>
          <w:divBdr>
            <w:top w:val="none" w:sz="0" w:space="0" w:color="auto"/>
            <w:left w:val="none" w:sz="0" w:space="0" w:color="auto"/>
            <w:bottom w:val="none" w:sz="0" w:space="0" w:color="auto"/>
            <w:right w:val="none" w:sz="0" w:space="0" w:color="auto"/>
          </w:divBdr>
        </w:div>
        <w:div w:id="972323307">
          <w:marLeft w:val="0"/>
          <w:marRight w:val="0"/>
          <w:marTop w:val="0"/>
          <w:marBottom w:val="0"/>
          <w:divBdr>
            <w:top w:val="none" w:sz="0" w:space="0" w:color="auto"/>
            <w:left w:val="none" w:sz="0" w:space="0" w:color="auto"/>
            <w:bottom w:val="none" w:sz="0" w:space="0" w:color="auto"/>
            <w:right w:val="none" w:sz="0" w:space="0" w:color="auto"/>
          </w:divBdr>
        </w:div>
        <w:div w:id="1118183474">
          <w:marLeft w:val="0"/>
          <w:marRight w:val="0"/>
          <w:marTop w:val="0"/>
          <w:marBottom w:val="0"/>
          <w:divBdr>
            <w:top w:val="none" w:sz="0" w:space="0" w:color="auto"/>
            <w:left w:val="none" w:sz="0" w:space="0" w:color="auto"/>
            <w:bottom w:val="none" w:sz="0" w:space="0" w:color="auto"/>
            <w:right w:val="none" w:sz="0" w:space="0" w:color="auto"/>
          </w:divBdr>
        </w:div>
        <w:div w:id="1164665721">
          <w:marLeft w:val="0"/>
          <w:marRight w:val="0"/>
          <w:marTop w:val="0"/>
          <w:marBottom w:val="0"/>
          <w:divBdr>
            <w:top w:val="none" w:sz="0" w:space="0" w:color="auto"/>
            <w:left w:val="none" w:sz="0" w:space="0" w:color="auto"/>
            <w:bottom w:val="none" w:sz="0" w:space="0" w:color="auto"/>
            <w:right w:val="none" w:sz="0" w:space="0" w:color="auto"/>
          </w:divBdr>
        </w:div>
        <w:div w:id="1178233806">
          <w:marLeft w:val="0"/>
          <w:marRight w:val="0"/>
          <w:marTop w:val="0"/>
          <w:marBottom w:val="0"/>
          <w:divBdr>
            <w:top w:val="none" w:sz="0" w:space="0" w:color="auto"/>
            <w:left w:val="none" w:sz="0" w:space="0" w:color="auto"/>
            <w:bottom w:val="none" w:sz="0" w:space="0" w:color="auto"/>
            <w:right w:val="none" w:sz="0" w:space="0" w:color="auto"/>
          </w:divBdr>
        </w:div>
        <w:div w:id="1278756927">
          <w:marLeft w:val="0"/>
          <w:marRight w:val="0"/>
          <w:marTop w:val="0"/>
          <w:marBottom w:val="0"/>
          <w:divBdr>
            <w:top w:val="none" w:sz="0" w:space="0" w:color="auto"/>
            <w:left w:val="none" w:sz="0" w:space="0" w:color="auto"/>
            <w:bottom w:val="none" w:sz="0" w:space="0" w:color="auto"/>
            <w:right w:val="none" w:sz="0" w:space="0" w:color="auto"/>
          </w:divBdr>
        </w:div>
        <w:div w:id="1321617236">
          <w:marLeft w:val="0"/>
          <w:marRight w:val="0"/>
          <w:marTop w:val="0"/>
          <w:marBottom w:val="0"/>
          <w:divBdr>
            <w:top w:val="none" w:sz="0" w:space="0" w:color="auto"/>
            <w:left w:val="none" w:sz="0" w:space="0" w:color="auto"/>
            <w:bottom w:val="none" w:sz="0" w:space="0" w:color="auto"/>
            <w:right w:val="none" w:sz="0" w:space="0" w:color="auto"/>
          </w:divBdr>
        </w:div>
        <w:div w:id="1397821661">
          <w:marLeft w:val="0"/>
          <w:marRight w:val="0"/>
          <w:marTop w:val="0"/>
          <w:marBottom w:val="0"/>
          <w:divBdr>
            <w:top w:val="none" w:sz="0" w:space="0" w:color="auto"/>
            <w:left w:val="none" w:sz="0" w:space="0" w:color="auto"/>
            <w:bottom w:val="none" w:sz="0" w:space="0" w:color="auto"/>
            <w:right w:val="none" w:sz="0" w:space="0" w:color="auto"/>
          </w:divBdr>
        </w:div>
        <w:div w:id="1450855992">
          <w:marLeft w:val="0"/>
          <w:marRight w:val="0"/>
          <w:marTop w:val="0"/>
          <w:marBottom w:val="0"/>
          <w:divBdr>
            <w:top w:val="none" w:sz="0" w:space="0" w:color="auto"/>
            <w:left w:val="none" w:sz="0" w:space="0" w:color="auto"/>
            <w:bottom w:val="none" w:sz="0" w:space="0" w:color="auto"/>
            <w:right w:val="none" w:sz="0" w:space="0" w:color="auto"/>
          </w:divBdr>
        </w:div>
        <w:div w:id="1557665148">
          <w:marLeft w:val="0"/>
          <w:marRight w:val="0"/>
          <w:marTop w:val="0"/>
          <w:marBottom w:val="0"/>
          <w:divBdr>
            <w:top w:val="none" w:sz="0" w:space="0" w:color="auto"/>
            <w:left w:val="none" w:sz="0" w:space="0" w:color="auto"/>
            <w:bottom w:val="none" w:sz="0" w:space="0" w:color="auto"/>
            <w:right w:val="none" w:sz="0" w:space="0" w:color="auto"/>
          </w:divBdr>
        </w:div>
        <w:div w:id="1576352985">
          <w:marLeft w:val="0"/>
          <w:marRight w:val="0"/>
          <w:marTop w:val="0"/>
          <w:marBottom w:val="0"/>
          <w:divBdr>
            <w:top w:val="none" w:sz="0" w:space="0" w:color="auto"/>
            <w:left w:val="none" w:sz="0" w:space="0" w:color="auto"/>
            <w:bottom w:val="none" w:sz="0" w:space="0" w:color="auto"/>
            <w:right w:val="none" w:sz="0" w:space="0" w:color="auto"/>
          </w:divBdr>
        </w:div>
        <w:div w:id="1592197579">
          <w:marLeft w:val="0"/>
          <w:marRight w:val="0"/>
          <w:marTop w:val="0"/>
          <w:marBottom w:val="0"/>
          <w:divBdr>
            <w:top w:val="none" w:sz="0" w:space="0" w:color="auto"/>
            <w:left w:val="none" w:sz="0" w:space="0" w:color="auto"/>
            <w:bottom w:val="none" w:sz="0" w:space="0" w:color="auto"/>
            <w:right w:val="none" w:sz="0" w:space="0" w:color="auto"/>
          </w:divBdr>
        </w:div>
        <w:div w:id="1604797559">
          <w:marLeft w:val="0"/>
          <w:marRight w:val="0"/>
          <w:marTop w:val="0"/>
          <w:marBottom w:val="0"/>
          <w:divBdr>
            <w:top w:val="none" w:sz="0" w:space="0" w:color="auto"/>
            <w:left w:val="none" w:sz="0" w:space="0" w:color="auto"/>
            <w:bottom w:val="none" w:sz="0" w:space="0" w:color="auto"/>
            <w:right w:val="none" w:sz="0" w:space="0" w:color="auto"/>
          </w:divBdr>
        </w:div>
        <w:div w:id="1613246528">
          <w:marLeft w:val="0"/>
          <w:marRight w:val="0"/>
          <w:marTop w:val="0"/>
          <w:marBottom w:val="0"/>
          <w:divBdr>
            <w:top w:val="none" w:sz="0" w:space="0" w:color="auto"/>
            <w:left w:val="none" w:sz="0" w:space="0" w:color="auto"/>
            <w:bottom w:val="none" w:sz="0" w:space="0" w:color="auto"/>
            <w:right w:val="none" w:sz="0" w:space="0" w:color="auto"/>
          </w:divBdr>
        </w:div>
        <w:div w:id="1657220880">
          <w:marLeft w:val="0"/>
          <w:marRight w:val="0"/>
          <w:marTop w:val="0"/>
          <w:marBottom w:val="0"/>
          <w:divBdr>
            <w:top w:val="none" w:sz="0" w:space="0" w:color="auto"/>
            <w:left w:val="none" w:sz="0" w:space="0" w:color="auto"/>
            <w:bottom w:val="none" w:sz="0" w:space="0" w:color="auto"/>
            <w:right w:val="none" w:sz="0" w:space="0" w:color="auto"/>
          </w:divBdr>
        </w:div>
        <w:div w:id="1673794502">
          <w:marLeft w:val="0"/>
          <w:marRight w:val="0"/>
          <w:marTop w:val="0"/>
          <w:marBottom w:val="0"/>
          <w:divBdr>
            <w:top w:val="none" w:sz="0" w:space="0" w:color="auto"/>
            <w:left w:val="none" w:sz="0" w:space="0" w:color="auto"/>
            <w:bottom w:val="none" w:sz="0" w:space="0" w:color="auto"/>
            <w:right w:val="none" w:sz="0" w:space="0" w:color="auto"/>
          </w:divBdr>
        </w:div>
        <w:div w:id="1676836786">
          <w:marLeft w:val="0"/>
          <w:marRight w:val="0"/>
          <w:marTop w:val="0"/>
          <w:marBottom w:val="0"/>
          <w:divBdr>
            <w:top w:val="none" w:sz="0" w:space="0" w:color="auto"/>
            <w:left w:val="none" w:sz="0" w:space="0" w:color="auto"/>
            <w:bottom w:val="none" w:sz="0" w:space="0" w:color="auto"/>
            <w:right w:val="none" w:sz="0" w:space="0" w:color="auto"/>
          </w:divBdr>
        </w:div>
        <w:div w:id="1686665700">
          <w:marLeft w:val="0"/>
          <w:marRight w:val="0"/>
          <w:marTop w:val="0"/>
          <w:marBottom w:val="0"/>
          <w:divBdr>
            <w:top w:val="none" w:sz="0" w:space="0" w:color="auto"/>
            <w:left w:val="none" w:sz="0" w:space="0" w:color="auto"/>
            <w:bottom w:val="none" w:sz="0" w:space="0" w:color="auto"/>
            <w:right w:val="none" w:sz="0" w:space="0" w:color="auto"/>
          </w:divBdr>
        </w:div>
        <w:div w:id="1850294033">
          <w:marLeft w:val="0"/>
          <w:marRight w:val="0"/>
          <w:marTop w:val="0"/>
          <w:marBottom w:val="0"/>
          <w:divBdr>
            <w:top w:val="none" w:sz="0" w:space="0" w:color="auto"/>
            <w:left w:val="none" w:sz="0" w:space="0" w:color="auto"/>
            <w:bottom w:val="none" w:sz="0" w:space="0" w:color="auto"/>
            <w:right w:val="none" w:sz="0" w:space="0" w:color="auto"/>
          </w:divBdr>
        </w:div>
        <w:div w:id="1938243568">
          <w:marLeft w:val="0"/>
          <w:marRight w:val="0"/>
          <w:marTop w:val="0"/>
          <w:marBottom w:val="0"/>
          <w:divBdr>
            <w:top w:val="none" w:sz="0" w:space="0" w:color="auto"/>
            <w:left w:val="none" w:sz="0" w:space="0" w:color="auto"/>
            <w:bottom w:val="none" w:sz="0" w:space="0" w:color="auto"/>
            <w:right w:val="none" w:sz="0" w:space="0" w:color="auto"/>
          </w:divBdr>
        </w:div>
        <w:div w:id="1972634819">
          <w:marLeft w:val="0"/>
          <w:marRight w:val="0"/>
          <w:marTop w:val="0"/>
          <w:marBottom w:val="0"/>
          <w:divBdr>
            <w:top w:val="none" w:sz="0" w:space="0" w:color="auto"/>
            <w:left w:val="none" w:sz="0" w:space="0" w:color="auto"/>
            <w:bottom w:val="none" w:sz="0" w:space="0" w:color="auto"/>
            <w:right w:val="none" w:sz="0" w:space="0" w:color="auto"/>
          </w:divBdr>
        </w:div>
        <w:div w:id="2015915388">
          <w:marLeft w:val="0"/>
          <w:marRight w:val="0"/>
          <w:marTop w:val="0"/>
          <w:marBottom w:val="0"/>
          <w:divBdr>
            <w:top w:val="none" w:sz="0" w:space="0" w:color="auto"/>
            <w:left w:val="none" w:sz="0" w:space="0" w:color="auto"/>
            <w:bottom w:val="none" w:sz="0" w:space="0" w:color="auto"/>
            <w:right w:val="none" w:sz="0" w:space="0" w:color="auto"/>
          </w:divBdr>
        </w:div>
        <w:div w:id="2116900956">
          <w:marLeft w:val="0"/>
          <w:marRight w:val="0"/>
          <w:marTop w:val="0"/>
          <w:marBottom w:val="0"/>
          <w:divBdr>
            <w:top w:val="none" w:sz="0" w:space="0" w:color="auto"/>
            <w:left w:val="none" w:sz="0" w:space="0" w:color="auto"/>
            <w:bottom w:val="none" w:sz="0" w:space="0" w:color="auto"/>
            <w:right w:val="none" w:sz="0" w:space="0" w:color="auto"/>
          </w:divBdr>
        </w:div>
      </w:divsChild>
    </w:div>
    <w:div w:id="1480614202">
      <w:bodyDiv w:val="1"/>
      <w:marLeft w:val="0"/>
      <w:marRight w:val="0"/>
      <w:marTop w:val="0"/>
      <w:marBottom w:val="0"/>
      <w:divBdr>
        <w:top w:val="none" w:sz="0" w:space="0" w:color="auto"/>
        <w:left w:val="none" w:sz="0" w:space="0" w:color="auto"/>
        <w:bottom w:val="none" w:sz="0" w:space="0" w:color="auto"/>
        <w:right w:val="none" w:sz="0" w:space="0" w:color="auto"/>
      </w:divBdr>
      <w:divsChild>
        <w:div w:id="15617801">
          <w:marLeft w:val="0"/>
          <w:marRight w:val="0"/>
          <w:marTop w:val="0"/>
          <w:marBottom w:val="0"/>
          <w:divBdr>
            <w:top w:val="none" w:sz="0" w:space="0" w:color="auto"/>
            <w:left w:val="none" w:sz="0" w:space="0" w:color="auto"/>
            <w:bottom w:val="none" w:sz="0" w:space="0" w:color="auto"/>
            <w:right w:val="none" w:sz="0" w:space="0" w:color="auto"/>
          </w:divBdr>
        </w:div>
        <w:div w:id="127019912">
          <w:marLeft w:val="0"/>
          <w:marRight w:val="0"/>
          <w:marTop w:val="0"/>
          <w:marBottom w:val="0"/>
          <w:divBdr>
            <w:top w:val="none" w:sz="0" w:space="0" w:color="auto"/>
            <w:left w:val="none" w:sz="0" w:space="0" w:color="auto"/>
            <w:bottom w:val="none" w:sz="0" w:space="0" w:color="auto"/>
            <w:right w:val="none" w:sz="0" w:space="0" w:color="auto"/>
          </w:divBdr>
        </w:div>
        <w:div w:id="338653276">
          <w:marLeft w:val="0"/>
          <w:marRight w:val="0"/>
          <w:marTop w:val="0"/>
          <w:marBottom w:val="0"/>
          <w:divBdr>
            <w:top w:val="none" w:sz="0" w:space="0" w:color="auto"/>
            <w:left w:val="none" w:sz="0" w:space="0" w:color="auto"/>
            <w:bottom w:val="none" w:sz="0" w:space="0" w:color="auto"/>
            <w:right w:val="none" w:sz="0" w:space="0" w:color="auto"/>
          </w:divBdr>
        </w:div>
        <w:div w:id="367143619">
          <w:marLeft w:val="0"/>
          <w:marRight w:val="0"/>
          <w:marTop w:val="0"/>
          <w:marBottom w:val="0"/>
          <w:divBdr>
            <w:top w:val="none" w:sz="0" w:space="0" w:color="auto"/>
            <w:left w:val="none" w:sz="0" w:space="0" w:color="auto"/>
            <w:bottom w:val="none" w:sz="0" w:space="0" w:color="auto"/>
            <w:right w:val="none" w:sz="0" w:space="0" w:color="auto"/>
          </w:divBdr>
        </w:div>
        <w:div w:id="390419812">
          <w:marLeft w:val="0"/>
          <w:marRight w:val="0"/>
          <w:marTop w:val="0"/>
          <w:marBottom w:val="0"/>
          <w:divBdr>
            <w:top w:val="none" w:sz="0" w:space="0" w:color="auto"/>
            <w:left w:val="none" w:sz="0" w:space="0" w:color="auto"/>
            <w:bottom w:val="none" w:sz="0" w:space="0" w:color="auto"/>
            <w:right w:val="none" w:sz="0" w:space="0" w:color="auto"/>
          </w:divBdr>
        </w:div>
        <w:div w:id="440419549">
          <w:marLeft w:val="0"/>
          <w:marRight w:val="0"/>
          <w:marTop w:val="0"/>
          <w:marBottom w:val="0"/>
          <w:divBdr>
            <w:top w:val="none" w:sz="0" w:space="0" w:color="auto"/>
            <w:left w:val="none" w:sz="0" w:space="0" w:color="auto"/>
            <w:bottom w:val="none" w:sz="0" w:space="0" w:color="auto"/>
            <w:right w:val="none" w:sz="0" w:space="0" w:color="auto"/>
          </w:divBdr>
        </w:div>
        <w:div w:id="502740496">
          <w:marLeft w:val="0"/>
          <w:marRight w:val="0"/>
          <w:marTop w:val="0"/>
          <w:marBottom w:val="0"/>
          <w:divBdr>
            <w:top w:val="none" w:sz="0" w:space="0" w:color="auto"/>
            <w:left w:val="none" w:sz="0" w:space="0" w:color="auto"/>
            <w:bottom w:val="none" w:sz="0" w:space="0" w:color="auto"/>
            <w:right w:val="none" w:sz="0" w:space="0" w:color="auto"/>
          </w:divBdr>
        </w:div>
        <w:div w:id="556011886">
          <w:marLeft w:val="0"/>
          <w:marRight w:val="0"/>
          <w:marTop w:val="0"/>
          <w:marBottom w:val="0"/>
          <w:divBdr>
            <w:top w:val="none" w:sz="0" w:space="0" w:color="auto"/>
            <w:left w:val="none" w:sz="0" w:space="0" w:color="auto"/>
            <w:bottom w:val="none" w:sz="0" w:space="0" w:color="auto"/>
            <w:right w:val="none" w:sz="0" w:space="0" w:color="auto"/>
          </w:divBdr>
        </w:div>
        <w:div w:id="603613014">
          <w:marLeft w:val="0"/>
          <w:marRight w:val="0"/>
          <w:marTop w:val="0"/>
          <w:marBottom w:val="0"/>
          <w:divBdr>
            <w:top w:val="none" w:sz="0" w:space="0" w:color="auto"/>
            <w:left w:val="none" w:sz="0" w:space="0" w:color="auto"/>
            <w:bottom w:val="none" w:sz="0" w:space="0" w:color="auto"/>
            <w:right w:val="none" w:sz="0" w:space="0" w:color="auto"/>
          </w:divBdr>
        </w:div>
        <w:div w:id="653029125">
          <w:marLeft w:val="0"/>
          <w:marRight w:val="0"/>
          <w:marTop w:val="0"/>
          <w:marBottom w:val="0"/>
          <w:divBdr>
            <w:top w:val="none" w:sz="0" w:space="0" w:color="auto"/>
            <w:left w:val="none" w:sz="0" w:space="0" w:color="auto"/>
            <w:bottom w:val="none" w:sz="0" w:space="0" w:color="auto"/>
            <w:right w:val="none" w:sz="0" w:space="0" w:color="auto"/>
          </w:divBdr>
        </w:div>
        <w:div w:id="674234751">
          <w:marLeft w:val="0"/>
          <w:marRight w:val="0"/>
          <w:marTop w:val="0"/>
          <w:marBottom w:val="0"/>
          <w:divBdr>
            <w:top w:val="none" w:sz="0" w:space="0" w:color="auto"/>
            <w:left w:val="none" w:sz="0" w:space="0" w:color="auto"/>
            <w:bottom w:val="none" w:sz="0" w:space="0" w:color="auto"/>
            <w:right w:val="none" w:sz="0" w:space="0" w:color="auto"/>
          </w:divBdr>
        </w:div>
        <w:div w:id="847209965">
          <w:marLeft w:val="0"/>
          <w:marRight w:val="0"/>
          <w:marTop w:val="0"/>
          <w:marBottom w:val="0"/>
          <w:divBdr>
            <w:top w:val="none" w:sz="0" w:space="0" w:color="auto"/>
            <w:left w:val="none" w:sz="0" w:space="0" w:color="auto"/>
            <w:bottom w:val="none" w:sz="0" w:space="0" w:color="auto"/>
            <w:right w:val="none" w:sz="0" w:space="0" w:color="auto"/>
          </w:divBdr>
        </w:div>
        <w:div w:id="976301220">
          <w:marLeft w:val="0"/>
          <w:marRight w:val="0"/>
          <w:marTop w:val="0"/>
          <w:marBottom w:val="0"/>
          <w:divBdr>
            <w:top w:val="none" w:sz="0" w:space="0" w:color="auto"/>
            <w:left w:val="none" w:sz="0" w:space="0" w:color="auto"/>
            <w:bottom w:val="none" w:sz="0" w:space="0" w:color="auto"/>
            <w:right w:val="none" w:sz="0" w:space="0" w:color="auto"/>
          </w:divBdr>
        </w:div>
        <w:div w:id="1116869877">
          <w:marLeft w:val="0"/>
          <w:marRight w:val="0"/>
          <w:marTop w:val="0"/>
          <w:marBottom w:val="0"/>
          <w:divBdr>
            <w:top w:val="none" w:sz="0" w:space="0" w:color="auto"/>
            <w:left w:val="none" w:sz="0" w:space="0" w:color="auto"/>
            <w:bottom w:val="none" w:sz="0" w:space="0" w:color="auto"/>
            <w:right w:val="none" w:sz="0" w:space="0" w:color="auto"/>
          </w:divBdr>
        </w:div>
        <w:div w:id="1304041915">
          <w:marLeft w:val="0"/>
          <w:marRight w:val="0"/>
          <w:marTop w:val="0"/>
          <w:marBottom w:val="0"/>
          <w:divBdr>
            <w:top w:val="none" w:sz="0" w:space="0" w:color="auto"/>
            <w:left w:val="none" w:sz="0" w:space="0" w:color="auto"/>
            <w:bottom w:val="none" w:sz="0" w:space="0" w:color="auto"/>
            <w:right w:val="none" w:sz="0" w:space="0" w:color="auto"/>
          </w:divBdr>
        </w:div>
        <w:div w:id="1375035733">
          <w:marLeft w:val="0"/>
          <w:marRight w:val="0"/>
          <w:marTop w:val="0"/>
          <w:marBottom w:val="0"/>
          <w:divBdr>
            <w:top w:val="none" w:sz="0" w:space="0" w:color="auto"/>
            <w:left w:val="none" w:sz="0" w:space="0" w:color="auto"/>
            <w:bottom w:val="none" w:sz="0" w:space="0" w:color="auto"/>
            <w:right w:val="none" w:sz="0" w:space="0" w:color="auto"/>
          </w:divBdr>
        </w:div>
        <w:div w:id="1523713382">
          <w:marLeft w:val="0"/>
          <w:marRight w:val="0"/>
          <w:marTop w:val="0"/>
          <w:marBottom w:val="0"/>
          <w:divBdr>
            <w:top w:val="none" w:sz="0" w:space="0" w:color="auto"/>
            <w:left w:val="none" w:sz="0" w:space="0" w:color="auto"/>
            <w:bottom w:val="none" w:sz="0" w:space="0" w:color="auto"/>
            <w:right w:val="none" w:sz="0" w:space="0" w:color="auto"/>
          </w:divBdr>
        </w:div>
        <w:div w:id="1621842186">
          <w:marLeft w:val="0"/>
          <w:marRight w:val="0"/>
          <w:marTop w:val="0"/>
          <w:marBottom w:val="0"/>
          <w:divBdr>
            <w:top w:val="none" w:sz="0" w:space="0" w:color="auto"/>
            <w:left w:val="none" w:sz="0" w:space="0" w:color="auto"/>
            <w:bottom w:val="none" w:sz="0" w:space="0" w:color="auto"/>
            <w:right w:val="none" w:sz="0" w:space="0" w:color="auto"/>
          </w:divBdr>
        </w:div>
        <w:div w:id="1763407546">
          <w:marLeft w:val="0"/>
          <w:marRight w:val="0"/>
          <w:marTop w:val="0"/>
          <w:marBottom w:val="0"/>
          <w:divBdr>
            <w:top w:val="none" w:sz="0" w:space="0" w:color="auto"/>
            <w:left w:val="none" w:sz="0" w:space="0" w:color="auto"/>
            <w:bottom w:val="none" w:sz="0" w:space="0" w:color="auto"/>
            <w:right w:val="none" w:sz="0" w:space="0" w:color="auto"/>
          </w:divBdr>
        </w:div>
        <w:div w:id="1826823568">
          <w:marLeft w:val="0"/>
          <w:marRight w:val="0"/>
          <w:marTop w:val="0"/>
          <w:marBottom w:val="0"/>
          <w:divBdr>
            <w:top w:val="none" w:sz="0" w:space="0" w:color="auto"/>
            <w:left w:val="none" w:sz="0" w:space="0" w:color="auto"/>
            <w:bottom w:val="none" w:sz="0" w:space="0" w:color="auto"/>
            <w:right w:val="none" w:sz="0" w:space="0" w:color="auto"/>
          </w:divBdr>
        </w:div>
        <w:div w:id="1880511356">
          <w:marLeft w:val="0"/>
          <w:marRight w:val="0"/>
          <w:marTop w:val="0"/>
          <w:marBottom w:val="0"/>
          <w:divBdr>
            <w:top w:val="none" w:sz="0" w:space="0" w:color="auto"/>
            <w:left w:val="none" w:sz="0" w:space="0" w:color="auto"/>
            <w:bottom w:val="none" w:sz="0" w:space="0" w:color="auto"/>
            <w:right w:val="none" w:sz="0" w:space="0" w:color="auto"/>
          </w:divBdr>
        </w:div>
        <w:div w:id="1908756431">
          <w:marLeft w:val="0"/>
          <w:marRight w:val="0"/>
          <w:marTop w:val="0"/>
          <w:marBottom w:val="0"/>
          <w:divBdr>
            <w:top w:val="none" w:sz="0" w:space="0" w:color="auto"/>
            <w:left w:val="none" w:sz="0" w:space="0" w:color="auto"/>
            <w:bottom w:val="none" w:sz="0" w:space="0" w:color="auto"/>
            <w:right w:val="none" w:sz="0" w:space="0" w:color="auto"/>
          </w:divBdr>
        </w:div>
        <w:div w:id="1989431581">
          <w:marLeft w:val="0"/>
          <w:marRight w:val="0"/>
          <w:marTop w:val="0"/>
          <w:marBottom w:val="0"/>
          <w:divBdr>
            <w:top w:val="none" w:sz="0" w:space="0" w:color="auto"/>
            <w:left w:val="none" w:sz="0" w:space="0" w:color="auto"/>
            <w:bottom w:val="none" w:sz="0" w:space="0" w:color="auto"/>
            <w:right w:val="none" w:sz="0" w:space="0" w:color="auto"/>
          </w:divBdr>
        </w:div>
      </w:divsChild>
    </w:div>
    <w:div w:id="1480687538">
      <w:bodyDiv w:val="1"/>
      <w:marLeft w:val="0"/>
      <w:marRight w:val="0"/>
      <w:marTop w:val="0"/>
      <w:marBottom w:val="0"/>
      <w:divBdr>
        <w:top w:val="none" w:sz="0" w:space="0" w:color="auto"/>
        <w:left w:val="none" w:sz="0" w:space="0" w:color="auto"/>
        <w:bottom w:val="none" w:sz="0" w:space="0" w:color="auto"/>
        <w:right w:val="none" w:sz="0" w:space="0" w:color="auto"/>
      </w:divBdr>
      <w:divsChild>
        <w:div w:id="25066852">
          <w:marLeft w:val="0"/>
          <w:marRight w:val="0"/>
          <w:marTop w:val="0"/>
          <w:marBottom w:val="0"/>
          <w:divBdr>
            <w:top w:val="none" w:sz="0" w:space="0" w:color="auto"/>
            <w:left w:val="none" w:sz="0" w:space="0" w:color="auto"/>
            <w:bottom w:val="none" w:sz="0" w:space="0" w:color="auto"/>
            <w:right w:val="none" w:sz="0" w:space="0" w:color="auto"/>
          </w:divBdr>
        </w:div>
        <w:div w:id="737438349">
          <w:marLeft w:val="0"/>
          <w:marRight w:val="0"/>
          <w:marTop w:val="0"/>
          <w:marBottom w:val="0"/>
          <w:divBdr>
            <w:top w:val="none" w:sz="0" w:space="0" w:color="auto"/>
            <w:left w:val="none" w:sz="0" w:space="0" w:color="auto"/>
            <w:bottom w:val="none" w:sz="0" w:space="0" w:color="auto"/>
            <w:right w:val="none" w:sz="0" w:space="0" w:color="auto"/>
          </w:divBdr>
        </w:div>
      </w:divsChild>
    </w:div>
    <w:div w:id="1494294187">
      <w:bodyDiv w:val="1"/>
      <w:marLeft w:val="0"/>
      <w:marRight w:val="0"/>
      <w:marTop w:val="0"/>
      <w:marBottom w:val="0"/>
      <w:divBdr>
        <w:top w:val="none" w:sz="0" w:space="0" w:color="auto"/>
        <w:left w:val="none" w:sz="0" w:space="0" w:color="auto"/>
        <w:bottom w:val="none" w:sz="0" w:space="0" w:color="auto"/>
        <w:right w:val="none" w:sz="0" w:space="0" w:color="auto"/>
      </w:divBdr>
      <w:divsChild>
        <w:div w:id="591548950">
          <w:marLeft w:val="0"/>
          <w:marRight w:val="0"/>
          <w:marTop w:val="0"/>
          <w:marBottom w:val="0"/>
          <w:divBdr>
            <w:top w:val="none" w:sz="0" w:space="0" w:color="auto"/>
            <w:left w:val="none" w:sz="0" w:space="0" w:color="auto"/>
            <w:bottom w:val="none" w:sz="0" w:space="0" w:color="auto"/>
            <w:right w:val="none" w:sz="0" w:space="0" w:color="auto"/>
          </w:divBdr>
        </w:div>
        <w:div w:id="852689112">
          <w:marLeft w:val="0"/>
          <w:marRight w:val="0"/>
          <w:marTop w:val="0"/>
          <w:marBottom w:val="0"/>
          <w:divBdr>
            <w:top w:val="none" w:sz="0" w:space="0" w:color="auto"/>
            <w:left w:val="none" w:sz="0" w:space="0" w:color="auto"/>
            <w:bottom w:val="none" w:sz="0" w:space="0" w:color="auto"/>
            <w:right w:val="none" w:sz="0" w:space="0" w:color="auto"/>
          </w:divBdr>
        </w:div>
        <w:div w:id="1080172955">
          <w:marLeft w:val="0"/>
          <w:marRight w:val="0"/>
          <w:marTop w:val="0"/>
          <w:marBottom w:val="0"/>
          <w:divBdr>
            <w:top w:val="none" w:sz="0" w:space="0" w:color="auto"/>
            <w:left w:val="none" w:sz="0" w:space="0" w:color="auto"/>
            <w:bottom w:val="none" w:sz="0" w:space="0" w:color="auto"/>
            <w:right w:val="none" w:sz="0" w:space="0" w:color="auto"/>
          </w:divBdr>
        </w:div>
        <w:div w:id="1183058448">
          <w:marLeft w:val="0"/>
          <w:marRight w:val="0"/>
          <w:marTop w:val="0"/>
          <w:marBottom w:val="0"/>
          <w:divBdr>
            <w:top w:val="none" w:sz="0" w:space="0" w:color="auto"/>
            <w:left w:val="none" w:sz="0" w:space="0" w:color="auto"/>
            <w:bottom w:val="none" w:sz="0" w:space="0" w:color="auto"/>
            <w:right w:val="none" w:sz="0" w:space="0" w:color="auto"/>
          </w:divBdr>
        </w:div>
        <w:div w:id="1202522217">
          <w:marLeft w:val="0"/>
          <w:marRight w:val="0"/>
          <w:marTop w:val="0"/>
          <w:marBottom w:val="0"/>
          <w:divBdr>
            <w:top w:val="none" w:sz="0" w:space="0" w:color="auto"/>
            <w:left w:val="none" w:sz="0" w:space="0" w:color="auto"/>
            <w:bottom w:val="none" w:sz="0" w:space="0" w:color="auto"/>
            <w:right w:val="none" w:sz="0" w:space="0" w:color="auto"/>
          </w:divBdr>
        </w:div>
        <w:div w:id="1437142556">
          <w:marLeft w:val="0"/>
          <w:marRight w:val="0"/>
          <w:marTop w:val="0"/>
          <w:marBottom w:val="0"/>
          <w:divBdr>
            <w:top w:val="none" w:sz="0" w:space="0" w:color="auto"/>
            <w:left w:val="none" w:sz="0" w:space="0" w:color="auto"/>
            <w:bottom w:val="none" w:sz="0" w:space="0" w:color="auto"/>
            <w:right w:val="none" w:sz="0" w:space="0" w:color="auto"/>
          </w:divBdr>
        </w:div>
        <w:div w:id="1582059765">
          <w:marLeft w:val="0"/>
          <w:marRight w:val="0"/>
          <w:marTop w:val="0"/>
          <w:marBottom w:val="0"/>
          <w:divBdr>
            <w:top w:val="none" w:sz="0" w:space="0" w:color="auto"/>
            <w:left w:val="none" w:sz="0" w:space="0" w:color="auto"/>
            <w:bottom w:val="none" w:sz="0" w:space="0" w:color="auto"/>
            <w:right w:val="none" w:sz="0" w:space="0" w:color="auto"/>
          </w:divBdr>
        </w:div>
      </w:divsChild>
    </w:div>
    <w:div w:id="1508056705">
      <w:bodyDiv w:val="1"/>
      <w:marLeft w:val="0"/>
      <w:marRight w:val="0"/>
      <w:marTop w:val="0"/>
      <w:marBottom w:val="0"/>
      <w:divBdr>
        <w:top w:val="none" w:sz="0" w:space="0" w:color="auto"/>
        <w:left w:val="none" w:sz="0" w:space="0" w:color="auto"/>
        <w:bottom w:val="none" w:sz="0" w:space="0" w:color="auto"/>
        <w:right w:val="none" w:sz="0" w:space="0" w:color="auto"/>
      </w:divBdr>
      <w:divsChild>
        <w:div w:id="1718818740">
          <w:marLeft w:val="0"/>
          <w:marRight w:val="0"/>
          <w:marTop w:val="0"/>
          <w:marBottom w:val="0"/>
          <w:divBdr>
            <w:top w:val="none" w:sz="0" w:space="0" w:color="auto"/>
            <w:left w:val="none" w:sz="0" w:space="0" w:color="auto"/>
            <w:bottom w:val="none" w:sz="0" w:space="0" w:color="auto"/>
            <w:right w:val="none" w:sz="0" w:space="0" w:color="auto"/>
          </w:divBdr>
        </w:div>
      </w:divsChild>
    </w:div>
    <w:div w:id="1509640345">
      <w:bodyDiv w:val="1"/>
      <w:marLeft w:val="0"/>
      <w:marRight w:val="0"/>
      <w:marTop w:val="0"/>
      <w:marBottom w:val="0"/>
      <w:divBdr>
        <w:top w:val="none" w:sz="0" w:space="0" w:color="auto"/>
        <w:left w:val="none" w:sz="0" w:space="0" w:color="auto"/>
        <w:bottom w:val="none" w:sz="0" w:space="0" w:color="auto"/>
        <w:right w:val="none" w:sz="0" w:space="0" w:color="auto"/>
      </w:divBdr>
      <w:divsChild>
        <w:div w:id="48573796">
          <w:marLeft w:val="0"/>
          <w:marRight w:val="0"/>
          <w:marTop w:val="0"/>
          <w:marBottom w:val="0"/>
          <w:divBdr>
            <w:top w:val="none" w:sz="0" w:space="0" w:color="auto"/>
            <w:left w:val="none" w:sz="0" w:space="0" w:color="auto"/>
            <w:bottom w:val="none" w:sz="0" w:space="0" w:color="auto"/>
            <w:right w:val="none" w:sz="0" w:space="0" w:color="auto"/>
          </w:divBdr>
        </w:div>
        <w:div w:id="48773370">
          <w:marLeft w:val="0"/>
          <w:marRight w:val="0"/>
          <w:marTop w:val="0"/>
          <w:marBottom w:val="0"/>
          <w:divBdr>
            <w:top w:val="none" w:sz="0" w:space="0" w:color="auto"/>
            <w:left w:val="none" w:sz="0" w:space="0" w:color="auto"/>
            <w:bottom w:val="none" w:sz="0" w:space="0" w:color="auto"/>
            <w:right w:val="none" w:sz="0" w:space="0" w:color="auto"/>
          </w:divBdr>
        </w:div>
        <w:div w:id="218170741">
          <w:marLeft w:val="0"/>
          <w:marRight w:val="0"/>
          <w:marTop w:val="0"/>
          <w:marBottom w:val="0"/>
          <w:divBdr>
            <w:top w:val="none" w:sz="0" w:space="0" w:color="auto"/>
            <w:left w:val="none" w:sz="0" w:space="0" w:color="auto"/>
            <w:bottom w:val="none" w:sz="0" w:space="0" w:color="auto"/>
            <w:right w:val="none" w:sz="0" w:space="0" w:color="auto"/>
          </w:divBdr>
        </w:div>
        <w:div w:id="305088946">
          <w:marLeft w:val="0"/>
          <w:marRight w:val="0"/>
          <w:marTop w:val="0"/>
          <w:marBottom w:val="0"/>
          <w:divBdr>
            <w:top w:val="none" w:sz="0" w:space="0" w:color="auto"/>
            <w:left w:val="none" w:sz="0" w:space="0" w:color="auto"/>
            <w:bottom w:val="none" w:sz="0" w:space="0" w:color="auto"/>
            <w:right w:val="none" w:sz="0" w:space="0" w:color="auto"/>
          </w:divBdr>
        </w:div>
        <w:div w:id="438062592">
          <w:marLeft w:val="0"/>
          <w:marRight w:val="0"/>
          <w:marTop w:val="0"/>
          <w:marBottom w:val="0"/>
          <w:divBdr>
            <w:top w:val="none" w:sz="0" w:space="0" w:color="auto"/>
            <w:left w:val="none" w:sz="0" w:space="0" w:color="auto"/>
            <w:bottom w:val="none" w:sz="0" w:space="0" w:color="auto"/>
            <w:right w:val="none" w:sz="0" w:space="0" w:color="auto"/>
          </w:divBdr>
        </w:div>
        <w:div w:id="458228621">
          <w:marLeft w:val="0"/>
          <w:marRight w:val="0"/>
          <w:marTop w:val="0"/>
          <w:marBottom w:val="0"/>
          <w:divBdr>
            <w:top w:val="none" w:sz="0" w:space="0" w:color="auto"/>
            <w:left w:val="none" w:sz="0" w:space="0" w:color="auto"/>
            <w:bottom w:val="none" w:sz="0" w:space="0" w:color="auto"/>
            <w:right w:val="none" w:sz="0" w:space="0" w:color="auto"/>
          </w:divBdr>
        </w:div>
        <w:div w:id="548996533">
          <w:marLeft w:val="0"/>
          <w:marRight w:val="0"/>
          <w:marTop w:val="0"/>
          <w:marBottom w:val="0"/>
          <w:divBdr>
            <w:top w:val="none" w:sz="0" w:space="0" w:color="auto"/>
            <w:left w:val="none" w:sz="0" w:space="0" w:color="auto"/>
            <w:bottom w:val="none" w:sz="0" w:space="0" w:color="auto"/>
            <w:right w:val="none" w:sz="0" w:space="0" w:color="auto"/>
          </w:divBdr>
        </w:div>
        <w:div w:id="582834715">
          <w:marLeft w:val="0"/>
          <w:marRight w:val="0"/>
          <w:marTop w:val="0"/>
          <w:marBottom w:val="0"/>
          <w:divBdr>
            <w:top w:val="none" w:sz="0" w:space="0" w:color="auto"/>
            <w:left w:val="none" w:sz="0" w:space="0" w:color="auto"/>
            <w:bottom w:val="none" w:sz="0" w:space="0" w:color="auto"/>
            <w:right w:val="none" w:sz="0" w:space="0" w:color="auto"/>
          </w:divBdr>
        </w:div>
        <w:div w:id="590967022">
          <w:marLeft w:val="0"/>
          <w:marRight w:val="0"/>
          <w:marTop w:val="0"/>
          <w:marBottom w:val="0"/>
          <w:divBdr>
            <w:top w:val="none" w:sz="0" w:space="0" w:color="auto"/>
            <w:left w:val="none" w:sz="0" w:space="0" w:color="auto"/>
            <w:bottom w:val="none" w:sz="0" w:space="0" w:color="auto"/>
            <w:right w:val="none" w:sz="0" w:space="0" w:color="auto"/>
          </w:divBdr>
        </w:div>
        <w:div w:id="634485263">
          <w:marLeft w:val="0"/>
          <w:marRight w:val="0"/>
          <w:marTop w:val="0"/>
          <w:marBottom w:val="0"/>
          <w:divBdr>
            <w:top w:val="none" w:sz="0" w:space="0" w:color="auto"/>
            <w:left w:val="none" w:sz="0" w:space="0" w:color="auto"/>
            <w:bottom w:val="none" w:sz="0" w:space="0" w:color="auto"/>
            <w:right w:val="none" w:sz="0" w:space="0" w:color="auto"/>
          </w:divBdr>
        </w:div>
        <w:div w:id="649406185">
          <w:marLeft w:val="0"/>
          <w:marRight w:val="0"/>
          <w:marTop w:val="0"/>
          <w:marBottom w:val="0"/>
          <w:divBdr>
            <w:top w:val="none" w:sz="0" w:space="0" w:color="auto"/>
            <w:left w:val="none" w:sz="0" w:space="0" w:color="auto"/>
            <w:bottom w:val="none" w:sz="0" w:space="0" w:color="auto"/>
            <w:right w:val="none" w:sz="0" w:space="0" w:color="auto"/>
          </w:divBdr>
        </w:div>
        <w:div w:id="901251761">
          <w:marLeft w:val="0"/>
          <w:marRight w:val="0"/>
          <w:marTop w:val="0"/>
          <w:marBottom w:val="0"/>
          <w:divBdr>
            <w:top w:val="none" w:sz="0" w:space="0" w:color="auto"/>
            <w:left w:val="none" w:sz="0" w:space="0" w:color="auto"/>
            <w:bottom w:val="none" w:sz="0" w:space="0" w:color="auto"/>
            <w:right w:val="none" w:sz="0" w:space="0" w:color="auto"/>
          </w:divBdr>
        </w:div>
        <w:div w:id="905871135">
          <w:marLeft w:val="0"/>
          <w:marRight w:val="0"/>
          <w:marTop w:val="0"/>
          <w:marBottom w:val="0"/>
          <w:divBdr>
            <w:top w:val="none" w:sz="0" w:space="0" w:color="auto"/>
            <w:left w:val="none" w:sz="0" w:space="0" w:color="auto"/>
            <w:bottom w:val="none" w:sz="0" w:space="0" w:color="auto"/>
            <w:right w:val="none" w:sz="0" w:space="0" w:color="auto"/>
          </w:divBdr>
        </w:div>
        <w:div w:id="970131892">
          <w:marLeft w:val="0"/>
          <w:marRight w:val="0"/>
          <w:marTop w:val="0"/>
          <w:marBottom w:val="0"/>
          <w:divBdr>
            <w:top w:val="none" w:sz="0" w:space="0" w:color="auto"/>
            <w:left w:val="none" w:sz="0" w:space="0" w:color="auto"/>
            <w:bottom w:val="none" w:sz="0" w:space="0" w:color="auto"/>
            <w:right w:val="none" w:sz="0" w:space="0" w:color="auto"/>
          </w:divBdr>
        </w:div>
        <w:div w:id="1030650004">
          <w:marLeft w:val="0"/>
          <w:marRight w:val="0"/>
          <w:marTop w:val="0"/>
          <w:marBottom w:val="0"/>
          <w:divBdr>
            <w:top w:val="none" w:sz="0" w:space="0" w:color="auto"/>
            <w:left w:val="none" w:sz="0" w:space="0" w:color="auto"/>
            <w:bottom w:val="none" w:sz="0" w:space="0" w:color="auto"/>
            <w:right w:val="none" w:sz="0" w:space="0" w:color="auto"/>
          </w:divBdr>
        </w:div>
        <w:div w:id="1091245909">
          <w:marLeft w:val="0"/>
          <w:marRight w:val="0"/>
          <w:marTop w:val="0"/>
          <w:marBottom w:val="0"/>
          <w:divBdr>
            <w:top w:val="none" w:sz="0" w:space="0" w:color="auto"/>
            <w:left w:val="none" w:sz="0" w:space="0" w:color="auto"/>
            <w:bottom w:val="none" w:sz="0" w:space="0" w:color="auto"/>
            <w:right w:val="none" w:sz="0" w:space="0" w:color="auto"/>
          </w:divBdr>
        </w:div>
        <w:div w:id="1127553389">
          <w:marLeft w:val="0"/>
          <w:marRight w:val="0"/>
          <w:marTop w:val="0"/>
          <w:marBottom w:val="0"/>
          <w:divBdr>
            <w:top w:val="none" w:sz="0" w:space="0" w:color="auto"/>
            <w:left w:val="none" w:sz="0" w:space="0" w:color="auto"/>
            <w:bottom w:val="none" w:sz="0" w:space="0" w:color="auto"/>
            <w:right w:val="none" w:sz="0" w:space="0" w:color="auto"/>
          </w:divBdr>
        </w:div>
        <w:div w:id="1169905261">
          <w:marLeft w:val="0"/>
          <w:marRight w:val="0"/>
          <w:marTop w:val="0"/>
          <w:marBottom w:val="0"/>
          <w:divBdr>
            <w:top w:val="none" w:sz="0" w:space="0" w:color="auto"/>
            <w:left w:val="none" w:sz="0" w:space="0" w:color="auto"/>
            <w:bottom w:val="none" w:sz="0" w:space="0" w:color="auto"/>
            <w:right w:val="none" w:sz="0" w:space="0" w:color="auto"/>
          </w:divBdr>
        </w:div>
        <w:div w:id="1185246959">
          <w:marLeft w:val="0"/>
          <w:marRight w:val="0"/>
          <w:marTop w:val="0"/>
          <w:marBottom w:val="0"/>
          <w:divBdr>
            <w:top w:val="none" w:sz="0" w:space="0" w:color="auto"/>
            <w:left w:val="none" w:sz="0" w:space="0" w:color="auto"/>
            <w:bottom w:val="none" w:sz="0" w:space="0" w:color="auto"/>
            <w:right w:val="none" w:sz="0" w:space="0" w:color="auto"/>
          </w:divBdr>
        </w:div>
        <w:div w:id="1264847044">
          <w:marLeft w:val="0"/>
          <w:marRight w:val="0"/>
          <w:marTop w:val="0"/>
          <w:marBottom w:val="0"/>
          <w:divBdr>
            <w:top w:val="none" w:sz="0" w:space="0" w:color="auto"/>
            <w:left w:val="none" w:sz="0" w:space="0" w:color="auto"/>
            <w:bottom w:val="none" w:sz="0" w:space="0" w:color="auto"/>
            <w:right w:val="none" w:sz="0" w:space="0" w:color="auto"/>
          </w:divBdr>
        </w:div>
        <w:div w:id="1363018113">
          <w:marLeft w:val="0"/>
          <w:marRight w:val="0"/>
          <w:marTop w:val="0"/>
          <w:marBottom w:val="0"/>
          <w:divBdr>
            <w:top w:val="none" w:sz="0" w:space="0" w:color="auto"/>
            <w:left w:val="none" w:sz="0" w:space="0" w:color="auto"/>
            <w:bottom w:val="none" w:sz="0" w:space="0" w:color="auto"/>
            <w:right w:val="none" w:sz="0" w:space="0" w:color="auto"/>
          </w:divBdr>
        </w:div>
        <w:div w:id="1376388097">
          <w:marLeft w:val="0"/>
          <w:marRight w:val="0"/>
          <w:marTop w:val="0"/>
          <w:marBottom w:val="0"/>
          <w:divBdr>
            <w:top w:val="none" w:sz="0" w:space="0" w:color="auto"/>
            <w:left w:val="none" w:sz="0" w:space="0" w:color="auto"/>
            <w:bottom w:val="none" w:sz="0" w:space="0" w:color="auto"/>
            <w:right w:val="none" w:sz="0" w:space="0" w:color="auto"/>
          </w:divBdr>
        </w:div>
        <w:div w:id="1395811830">
          <w:marLeft w:val="0"/>
          <w:marRight w:val="0"/>
          <w:marTop w:val="0"/>
          <w:marBottom w:val="0"/>
          <w:divBdr>
            <w:top w:val="none" w:sz="0" w:space="0" w:color="auto"/>
            <w:left w:val="none" w:sz="0" w:space="0" w:color="auto"/>
            <w:bottom w:val="none" w:sz="0" w:space="0" w:color="auto"/>
            <w:right w:val="none" w:sz="0" w:space="0" w:color="auto"/>
          </w:divBdr>
        </w:div>
        <w:div w:id="1595629821">
          <w:marLeft w:val="0"/>
          <w:marRight w:val="0"/>
          <w:marTop w:val="0"/>
          <w:marBottom w:val="0"/>
          <w:divBdr>
            <w:top w:val="none" w:sz="0" w:space="0" w:color="auto"/>
            <w:left w:val="none" w:sz="0" w:space="0" w:color="auto"/>
            <w:bottom w:val="none" w:sz="0" w:space="0" w:color="auto"/>
            <w:right w:val="none" w:sz="0" w:space="0" w:color="auto"/>
          </w:divBdr>
        </w:div>
        <w:div w:id="1678115704">
          <w:marLeft w:val="0"/>
          <w:marRight w:val="0"/>
          <w:marTop w:val="0"/>
          <w:marBottom w:val="0"/>
          <w:divBdr>
            <w:top w:val="none" w:sz="0" w:space="0" w:color="auto"/>
            <w:left w:val="none" w:sz="0" w:space="0" w:color="auto"/>
            <w:bottom w:val="none" w:sz="0" w:space="0" w:color="auto"/>
            <w:right w:val="none" w:sz="0" w:space="0" w:color="auto"/>
          </w:divBdr>
        </w:div>
        <w:div w:id="1681472882">
          <w:marLeft w:val="0"/>
          <w:marRight w:val="0"/>
          <w:marTop w:val="0"/>
          <w:marBottom w:val="0"/>
          <w:divBdr>
            <w:top w:val="none" w:sz="0" w:space="0" w:color="auto"/>
            <w:left w:val="none" w:sz="0" w:space="0" w:color="auto"/>
            <w:bottom w:val="none" w:sz="0" w:space="0" w:color="auto"/>
            <w:right w:val="none" w:sz="0" w:space="0" w:color="auto"/>
          </w:divBdr>
        </w:div>
        <w:div w:id="1704747594">
          <w:marLeft w:val="0"/>
          <w:marRight w:val="0"/>
          <w:marTop w:val="0"/>
          <w:marBottom w:val="0"/>
          <w:divBdr>
            <w:top w:val="none" w:sz="0" w:space="0" w:color="auto"/>
            <w:left w:val="none" w:sz="0" w:space="0" w:color="auto"/>
            <w:bottom w:val="none" w:sz="0" w:space="0" w:color="auto"/>
            <w:right w:val="none" w:sz="0" w:space="0" w:color="auto"/>
          </w:divBdr>
        </w:div>
        <w:div w:id="1722944735">
          <w:marLeft w:val="0"/>
          <w:marRight w:val="0"/>
          <w:marTop w:val="0"/>
          <w:marBottom w:val="0"/>
          <w:divBdr>
            <w:top w:val="none" w:sz="0" w:space="0" w:color="auto"/>
            <w:left w:val="none" w:sz="0" w:space="0" w:color="auto"/>
            <w:bottom w:val="none" w:sz="0" w:space="0" w:color="auto"/>
            <w:right w:val="none" w:sz="0" w:space="0" w:color="auto"/>
          </w:divBdr>
        </w:div>
        <w:div w:id="1752199467">
          <w:marLeft w:val="0"/>
          <w:marRight w:val="0"/>
          <w:marTop w:val="0"/>
          <w:marBottom w:val="0"/>
          <w:divBdr>
            <w:top w:val="none" w:sz="0" w:space="0" w:color="auto"/>
            <w:left w:val="none" w:sz="0" w:space="0" w:color="auto"/>
            <w:bottom w:val="none" w:sz="0" w:space="0" w:color="auto"/>
            <w:right w:val="none" w:sz="0" w:space="0" w:color="auto"/>
          </w:divBdr>
        </w:div>
        <w:div w:id="1775901929">
          <w:marLeft w:val="0"/>
          <w:marRight w:val="0"/>
          <w:marTop w:val="0"/>
          <w:marBottom w:val="0"/>
          <w:divBdr>
            <w:top w:val="none" w:sz="0" w:space="0" w:color="auto"/>
            <w:left w:val="none" w:sz="0" w:space="0" w:color="auto"/>
            <w:bottom w:val="none" w:sz="0" w:space="0" w:color="auto"/>
            <w:right w:val="none" w:sz="0" w:space="0" w:color="auto"/>
          </w:divBdr>
        </w:div>
        <w:div w:id="1820878702">
          <w:marLeft w:val="0"/>
          <w:marRight w:val="0"/>
          <w:marTop w:val="0"/>
          <w:marBottom w:val="0"/>
          <w:divBdr>
            <w:top w:val="none" w:sz="0" w:space="0" w:color="auto"/>
            <w:left w:val="none" w:sz="0" w:space="0" w:color="auto"/>
            <w:bottom w:val="none" w:sz="0" w:space="0" w:color="auto"/>
            <w:right w:val="none" w:sz="0" w:space="0" w:color="auto"/>
          </w:divBdr>
        </w:div>
        <w:div w:id="1862355971">
          <w:marLeft w:val="0"/>
          <w:marRight w:val="0"/>
          <w:marTop w:val="0"/>
          <w:marBottom w:val="0"/>
          <w:divBdr>
            <w:top w:val="none" w:sz="0" w:space="0" w:color="auto"/>
            <w:left w:val="none" w:sz="0" w:space="0" w:color="auto"/>
            <w:bottom w:val="none" w:sz="0" w:space="0" w:color="auto"/>
            <w:right w:val="none" w:sz="0" w:space="0" w:color="auto"/>
          </w:divBdr>
        </w:div>
        <w:div w:id="1878469955">
          <w:marLeft w:val="0"/>
          <w:marRight w:val="0"/>
          <w:marTop w:val="0"/>
          <w:marBottom w:val="0"/>
          <w:divBdr>
            <w:top w:val="none" w:sz="0" w:space="0" w:color="auto"/>
            <w:left w:val="none" w:sz="0" w:space="0" w:color="auto"/>
            <w:bottom w:val="none" w:sz="0" w:space="0" w:color="auto"/>
            <w:right w:val="none" w:sz="0" w:space="0" w:color="auto"/>
          </w:divBdr>
        </w:div>
        <w:div w:id="1917088486">
          <w:marLeft w:val="0"/>
          <w:marRight w:val="0"/>
          <w:marTop w:val="0"/>
          <w:marBottom w:val="0"/>
          <w:divBdr>
            <w:top w:val="none" w:sz="0" w:space="0" w:color="auto"/>
            <w:left w:val="none" w:sz="0" w:space="0" w:color="auto"/>
            <w:bottom w:val="none" w:sz="0" w:space="0" w:color="auto"/>
            <w:right w:val="none" w:sz="0" w:space="0" w:color="auto"/>
          </w:divBdr>
        </w:div>
        <w:div w:id="1979723474">
          <w:marLeft w:val="0"/>
          <w:marRight w:val="0"/>
          <w:marTop w:val="0"/>
          <w:marBottom w:val="0"/>
          <w:divBdr>
            <w:top w:val="none" w:sz="0" w:space="0" w:color="auto"/>
            <w:left w:val="none" w:sz="0" w:space="0" w:color="auto"/>
            <w:bottom w:val="none" w:sz="0" w:space="0" w:color="auto"/>
            <w:right w:val="none" w:sz="0" w:space="0" w:color="auto"/>
          </w:divBdr>
        </w:div>
        <w:div w:id="2012293956">
          <w:marLeft w:val="0"/>
          <w:marRight w:val="0"/>
          <w:marTop w:val="0"/>
          <w:marBottom w:val="0"/>
          <w:divBdr>
            <w:top w:val="none" w:sz="0" w:space="0" w:color="auto"/>
            <w:left w:val="none" w:sz="0" w:space="0" w:color="auto"/>
            <w:bottom w:val="none" w:sz="0" w:space="0" w:color="auto"/>
            <w:right w:val="none" w:sz="0" w:space="0" w:color="auto"/>
          </w:divBdr>
        </w:div>
        <w:div w:id="2016954310">
          <w:marLeft w:val="0"/>
          <w:marRight w:val="0"/>
          <w:marTop w:val="0"/>
          <w:marBottom w:val="0"/>
          <w:divBdr>
            <w:top w:val="none" w:sz="0" w:space="0" w:color="auto"/>
            <w:left w:val="none" w:sz="0" w:space="0" w:color="auto"/>
            <w:bottom w:val="none" w:sz="0" w:space="0" w:color="auto"/>
            <w:right w:val="none" w:sz="0" w:space="0" w:color="auto"/>
          </w:divBdr>
        </w:div>
        <w:div w:id="2098818272">
          <w:marLeft w:val="0"/>
          <w:marRight w:val="0"/>
          <w:marTop w:val="0"/>
          <w:marBottom w:val="0"/>
          <w:divBdr>
            <w:top w:val="none" w:sz="0" w:space="0" w:color="auto"/>
            <w:left w:val="none" w:sz="0" w:space="0" w:color="auto"/>
            <w:bottom w:val="none" w:sz="0" w:space="0" w:color="auto"/>
            <w:right w:val="none" w:sz="0" w:space="0" w:color="auto"/>
          </w:divBdr>
        </w:div>
      </w:divsChild>
    </w:div>
    <w:div w:id="1526821547">
      <w:bodyDiv w:val="1"/>
      <w:marLeft w:val="0"/>
      <w:marRight w:val="0"/>
      <w:marTop w:val="0"/>
      <w:marBottom w:val="0"/>
      <w:divBdr>
        <w:top w:val="none" w:sz="0" w:space="0" w:color="auto"/>
        <w:left w:val="none" w:sz="0" w:space="0" w:color="auto"/>
        <w:bottom w:val="none" w:sz="0" w:space="0" w:color="auto"/>
        <w:right w:val="none" w:sz="0" w:space="0" w:color="auto"/>
      </w:divBdr>
      <w:divsChild>
        <w:div w:id="1288438176">
          <w:marLeft w:val="0"/>
          <w:marRight w:val="0"/>
          <w:marTop w:val="0"/>
          <w:marBottom w:val="0"/>
          <w:divBdr>
            <w:top w:val="none" w:sz="0" w:space="0" w:color="auto"/>
            <w:left w:val="none" w:sz="0" w:space="0" w:color="auto"/>
            <w:bottom w:val="none" w:sz="0" w:space="0" w:color="auto"/>
            <w:right w:val="none" w:sz="0" w:space="0" w:color="auto"/>
          </w:divBdr>
          <w:divsChild>
            <w:div w:id="1283808535">
              <w:marLeft w:val="0"/>
              <w:marRight w:val="0"/>
              <w:marTop w:val="0"/>
              <w:marBottom w:val="0"/>
              <w:divBdr>
                <w:top w:val="none" w:sz="0" w:space="0" w:color="auto"/>
                <w:left w:val="none" w:sz="0" w:space="0" w:color="auto"/>
                <w:bottom w:val="none" w:sz="0" w:space="0" w:color="auto"/>
                <w:right w:val="none" w:sz="0" w:space="0" w:color="auto"/>
              </w:divBdr>
              <w:divsChild>
                <w:div w:id="5841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785881">
      <w:bodyDiv w:val="1"/>
      <w:marLeft w:val="0"/>
      <w:marRight w:val="0"/>
      <w:marTop w:val="0"/>
      <w:marBottom w:val="0"/>
      <w:divBdr>
        <w:top w:val="none" w:sz="0" w:space="0" w:color="auto"/>
        <w:left w:val="none" w:sz="0" w:space="0" w:color="auto"/>
        <w:bottom w:val="none" w:sz="0" w:space="0" w:color="auto"/>
        <w:right w:val="none" w:sz="0" w:space="0" w:color="auto"/>
      </w:divBdr>
      <w:divsChild>
        <w:div w:id="15350626">
          <w:marLeft w:val="0"/>
          <w:marRight w:val="0"/>
          <w:marTop w:val="0"/>
          <w:marBottom w:val="0"/>
          <w:divBdr>
            <w:top w:val="none" w:sz="0" w:space="0" w:color="auto"/>
            <w:left w:val="none" w:sz="0" w:space="0" w:color="auto"/>
            <w:bottom w:val="none" w:sz="0" w:space="0" w:color="auto"/>
            <w:right w:val="none" w:sz="0" w:space="0" w:color="auto"/>
          </w:divBdr>
        </w:div>
        <w:div w:id="32967654">
          <w:marLeft w:val="0"/>
          <w:marRight w:val="0"/>
          <w:marTop w:val="0"/>
          <w:marBottom w:val="0"/>
          <w:divBdr>
            <w:top w:val="none" w:sz="0" w:space="0" w:color="auto"/>
            <w:left w:val="none" w:sz="0" w:space="0" w:color="auto"/>
            <w:bottom w:val="none" w:sz="0" w:space="0" w:color="auto"/>
            <w:right w:val="none" w:sz="0" w:space="0" w:color="auto"/>
          </w:divBdr>
        </w:div>
        <w:div w:id="53284030">
          <w:marLeft w:val="0"/>
          <w:marRight w:val="0"/>
          <w:marTop w:val="0"/>
          <w:marBottom w:val="0"/>
          <w:divBdr>
            <w:top w:val="none" w:sz="0" w:space="0" w:color="auto"/>
            <w:left w:val="none" w:sz="0" w:space="0" w:color="auto"/>
            <w:bottom w:val="none" w:sz="0" w:space="0" w:color="auto"/>
            <w:right w:val="none" w:sz="0" w:space="0" w:color="auto"/>
          </w:divBdr>
        </w:div>
        <w:div w:id="57367281">
          <w:marLeft w:val="0"/>
          <w:marRight w:val="0"/>
          <w:marTop w:val="0"/>
          <w:marBottom w:val="0"/>
          <w:divBdr>
            <w:top w:val="none" w:sz="0" w:space="0" w:color="auto"/>
            <w:left w:val="none" w:sz="0" w:space="0" w:color="auto"/>
            <w:bottom w:val="none" w:sz="0" w:space="0" w:color="auto"/>
            <w:right w:val="none" w:sz="0" w:space="0" w:color="auto"/>
          </w:divBdr>
        </w:div>
        <w:div w:id="223875853">
          <w:marLeft w:val="0"/>
          <w:marRight w:val="0"/>
          <w:marTop w:val="0"/>
          <w:marBottom w:val="0"/>
          <w:divBdr>
            <w:top w:val="none" w:sz="0" w:space="0" w:color="auto"/>
            <w:left w:val="none" w:sz="0" w:space="0" w:color="auto"/>
            <w:bottom w:val="none" w:sz="0" w:space="0" w:color="auto"/>
            <w:right w:val="none" w:sz="0" w:space="0" w:color="auto"/>
          </w:divBdr>
        </w:div>
        <w:div w:id="249435031">
          <w:marLeft w:val="0"/>
          <w:marRight w:val="0"/>
          <w:marTop w:val="0"/>
          <w:marBottom w:val="0"/>
          <w:divBdr>
            <w:top w:val="none" w:sz="0" w:space="0" w:color="auto"/>
            <w:left w:val="none" w:sz="0" w:space="0" w:color="auto"/>
            <w:bottom w:val="none" w:sz="0" w:space="0" w:color="auto"/>
            <w:right w:val="none" w:sz="0" w:space="0" w:color="auto"/>
          </w:divBdr>
        </w:div>
        <w:div w:id="364595943">
          <w:marLeft w:val="0"/>
          <w:marRight w:val="0"/>
          <w:marTop w:val="0"/>
          <w:marBottom w:val="0"/>
          <w:divBdr>
            <w:top w:val="none" w:sz="0" w:space="0" w:color="auto"/>
            <w:left w:val="none" w:sz="0" w:space="0" w:color="auto"/>
            <w:bottom w:val="none" w:sz="0" w:space="0" w:color="auto"/>
            <w:right w:val="none" w:sz="0" w:space="0" w:color="auto"/>
          </w:divBdr>
        </w:div>
        <w:div w:id="424613275">
          <w:marLeft w:val="0"/>
          <w:marRight w:val="0"/>
          <w:marTop w:val="0"/>
          <w:marBottom w:val="0"/>
          <w:divBdr>
            <w:top w:val="none" w:sz="0" w:space="0" w:color="auto"/>
            <w:left w:val="none" w:sz="0" w:space="0" w:color="auto"/>
            <w:bottom w:val="none" w:sz="0" w:space="0" w:color="auto"/>
            <w:right w:val="none" w:sz="0" w:space="0" w:color="auto"/>
          </w:divBdr>
        </w:div>
        <w:div w:id="520437450">
          <w:marLeft w:val="0"/>
          <w:marRight w:val="0"/>
          <w:marTop w:val="0"/>
          <w:marBottom w:val="0"/>
          <w:divBdr>
            <w:top w:val="none" w:sz="0" w:space="0" w:color="auto"/>
            <w:left w:val="none" w:sz="0" w:space="0" w:color="auto"/>
            <w:bottom w:val="none" w:sz="0" w:space="0" w:color="auto"/>
            <w:right w:val="none" w:sz="0" w:space="0" w:color="auto"/>
          </w:divBdr>
        </w:div>
        <w:div w:id="567110181">
          <w:marLeft w:val="0"/>
          <w:marRight w:val="0"/>
          <w:marTop w:val="0"/>
          <w:marBottom w:val="0"/>
          <w:divBdr>
            <w:top w:val="none" w:sz="0" w:space="0" w:color="auto"/>
            <w:left w:val="none" w:sz="0" w:space="0" w:color="auto"/>
            <w:bottom w:val="none" w:sz="0" w:space="0" w:color="auto"/>
            <w:right w:val="none" w:sz="0" w:space="0" w:color="auto"/>
          </w:divBdr>
        </w:div>
        <w:div w:id="583564056">
          <w:marLeft w:val="0"/>
          <w:marRight w:val="0"/>
          <w:marTop w:val="0"/>
          <w:marBottom w:val="0"/>
          <w:divBdr>
            <w:top w:val="none" w:sz="0" w:space="0" w:color="auto"/>
            <w:left w:val="none" w:sz="0" w:space="0" w:color="auto"/>
            <w:bottom w:val="none" w:sz="0" w:space="0" w:color="auto"/>
            <w:right w:val="none" w:sz="0" w:space="0" w:color="auto"/>
          </w:divBdr>
        </w:div>
        <w:div w:id="662927964">
          <w:marLeft w:val="0"/>
          <w:marRight w:val="0"/>
          <w:marTop w:val="0"/>
          <w:marBottom w:val="0"/>
          <w:divBdr>
            <w:top w:val="none" w:sz="0" w:space="0" w:color="auto"/>
            <w:left w:val="none" w:sz="0" w:space="0" w:color="auto"/>
            <w:bottom w:val="none" w:sz="0" w:space="0" w:color="auto"/>
            <w:right w:val="none" w:sz="0" w:space="0" w:color="auto"/>
          </w:divBdr>
        </w:div>
        <w:div w:id="687872395">
          <w:marLeft w:val="0"/>
          <w:marRight w:val="0"/>
          <w:marTop w:val="0"/>
          <w:marBottom w:val="0"/>
          <w:divBdr>
            <w:top w:val="none" w:sz="0" w:space="0" w:color="auto"/>
            <w:left w:val="none" w:sz="0" w:space="0" w:color="auto"/>
            <w:bottom w:val="none" w:sz="0" w:space="0" w:color="auto"/>
            <w:right w:val="none" w:sz="0" w:space="0" w:color="auto"/>
          </w:divBdr>
        </w:div>
        <w:div w:id="734203183">
          <w:marLeft w:val="0"/>
          <w:marRight w:val="0"/>
          <w:marTop w:val="0"/>
          <w:marBottom w:val="0"/>
          <w:divBdr>
            <w:top w:val="none" w:sz="0" w:space="0" w:color="auto"/>
            <w:left w:val="none" w:sz="0" w:space="0" w:color="auto"/>
            <w:bottom w:val="none" w:sz="0" w:space="0" w:color="auto"/>
            <w:right w:val="none" w:sz="0" w:space="0" w:color="auto"/>
          </w:divBdr>
        </w:div>
        <w:div w:id="748579675">
          <w:marLeft w:val="0"/>
          <w:marRight w:val="0"/>
          <w:marTop w:val="0"/>
          <w:marBottom w:val="0"/>
          <w:divBdr>
            <w:top w:val="none" w:sz="0" w:space="0" w:color="auto"/>
            <w:left w:val="none" w:sz="0" w:space="0" w:color="auto"/>
            <w:bottom w:val="none" w:sz="0" w:space="0" w:color="auto"/>
            <w:right w:val="none" w:sz="0" w:space="0" w:color="auto"/>
          </w:divBdr>
        </w:div>
        <w:div w:id="820117567">
          <w:marLeft w:val="0"/>
          <w:marRight w:val="0"/>
          <w:marTop w:val="0"/>
          <w:marBottom w:val="0"/>
          <w:divBdr>
            <w:top w:val="none" w:sz="0" w:space="0" w:color="auto"/>
            <w:left w:val="none" w:sz="0" w:space="0" w:color="auto"/>
            <w:bottom w:val="none" w:sz="0" w:space="0" w:color="auto"/>
            <w:right w:val="none" w:sz="0" w:space="0" w:color="auto"/>
          </w:divBdr>
        </w:div>
        <w:div w:id="930351784">
          <w:marLeft w:val="0"/>
          <w:marRight w:val="0"/>
          <w:marTop w:val="0"/>
          <w:marBottom w:val="0"/>
          <w:divBdr>
            <w:top w:val="none" w:sz="0" w:space="0" w:color="auto"/>
            <w:left w:val="none" w:sz="0" w:space="0" w:color="auto"/>
            <w:bottom w:val="none" w:sz="0" w:space="0" w:color="auto"/>
            <w:right w:val="none" w:sz="0" w:space="0" w:color="auto"/>
          </w:divBdr>
        </w:div>
        <w:div w:id="1002779290">
          <w:marLeft w:val="0"/>
          <w:marRight w:val="0"/>
          <w:marTop w:val="0"/>
          <w:marBottom w:val="0"/>
          <w:divBdr>
            <w:top w:val="none" w:sz="0" w:space="0" w:color="auto"/>
            <w:left w:val="none" w:sz="0" w:space="0" w:color="auto"/>
            <w:bottom w:val="none" w:sz="0" w:space="0" w:color="auto"/>
            <w:right w:val="none" w:sz="0" w:space="0" w:color="auto"/>
          </w:divBdr>
        </w:div>
        <w:div w:id="1084456440">
          <w:marLeft w:val="0"/>
          <w:marRight w:val="0"/>
          <w:marTop w:val="0"/>
          <w:marBottom w:val="0"/>
          <w:divBdr>
            <w:top w:val="none" w:sz="0" w:space="0" w:color="auto"/>
            <w:left w:val="none" w:sz="0" w:space="0" w:color="auto"/>
            <w:bottom w:val="none" w:sz="0" w:space="0" w:color="auto"/>
            <w:right w:val="none" w:sz="0" w:space="0" w:color="auto"/>
          </w:divBdr>
        </w:div>
        <w:div w:id="1096947967">
          <w:marLeft w:val="0"/>
          <w:marRight w:val="0"/>
          <w:marTop w:val="0"/>
          <w:marBottom w:val="0"/>
          <w:divBdr>
            <w:top w:val="none" w:sz="0" w:space="0" w:color="auto"/>
            <w:left w:val="none" w:sz="0" w:space="0" w:color="auto"/>
            <w:bottom w:val="none" w:sz="0" w:space="0" w:color="auto"/>
            <w:right w:val="none" w:sz="0" w:space="0" w:color="auto"/>
          </w:divBdr>
        </w:div>
        <w:div w:id="1117479904">
          <w:marLeft w:val="0"/>
          <w:marRight w:val="0"/>
          <w:marTop w:val="0"/>
          <w:marBottom w:val="0"/>
          <w:divBdr>
            <w:top w:val="none" w:sz="0" w:space="0" w:color="auto"/>
            <w:left w:val="none" w:sz="0" w:space="0" w:color="auto"/>
            <w:bottom w:val="none" w:sz="0" w:space="0" w:color="auto"/>
            <w:right w:val="none" w:sz="0" w:space="0" w:color="auto"/>
          </w:divBdr>
        </w:div>
        <w:div w:id="1121194904">
          <w:marLeft w:val="0"/>
          <w:marRight w:val="0"/>
          <w:marTop w:val="0"/>
          <w:marBottom w:val="0"/>
          <w:divBdr>
            <w:top w:val="none" w:sz="0" w:space="0" w:color="auto"/>
            <w:left w:val="none" w:sz="0" w:space="0" w:color="auto"/>
            <w:bottom w:val="none" w:sz="0" w:space="0" w:color="auto"/>
            <w:right w:val="none" w:sz="0" w:space="0" w:color="auto"/>
          </w:divBdr>
        </w:div>
        <w:div w:id="1228954857">
          <w:marLeft w:val="0"/>
          <w:marRight w:val="0"/>
          <w:marTop w:val="0"/>
          <w:marBottom w:val="0"/>
          <w:divBdr>
            <w:top w:val="none" w:sz="0" w:space="0" w:color="auto"/>
            <w:left w:val="none" w:sz="0" w:space="0" w:color="auto"/>
            <w:bottom w:val="none" w:sz="0" w:space="0" w:color="auto"/>
            <w:right w:val="none" w:sz="0" w:space="0" w:color="auto"/>
          </w:divBdr>
        </w:div>
        <w:div w:id="1238174050">
          <w:marLeft w:val="0"/>
          <w:marRight w:val="0"/>
          <w:marTop w:val="0"/>
          <w:marBottom w:val="0"/>
          <w:divBdr>
            <w:top w:val="none" w:sz="0" w:space="0" w:color="auto"/>
            <w:left w:val="none" w:sz="0" w:space="0" w:color="auto"/>
            <w:bottom w:val="none" w:sz="0" w:space="0" w:color="auto"/>
            <w:right w:val="none" w:sz="0" w:space="0" w:color="auto"/>
          </w:divBdr>
        </w:div>
        <w:div w:id="1312783442">
          <w:marLeft w:val="0"/>
          <w:marRight w:val="0"/>
          <w:marTop w:val="0"/>
          <w:marBottom w:val="0"/>
          <w:divBdr>
            <w:top w:val="none" w:sz="0" w:space="0" w:color="auto"/>
            <w:left w:val="none" w:sz="0" w:space="0" w:color="auto"/>
            <w:bottom w:val="none" w:sz="0" w:space="0" w:color="auto"/>
            <w:right w:val="none" w:sz="0" w:space="0" w:color="auto"/>
          </w:divBdr>
        </w:div>
        <w:div w:id="1335914100">
          <w:marLeft w:val="0"/>
          <w:marRight w:val="0"/>
          <w:marTop w:val="0"/>
          <w:marBottom w:val="0"/>
          <w:divBdr>
            <w:top w:val="none" w:sz="0" w:space="0" w:color="auto"/>
            <w:left w:val="none" w:sz="0" w:space="0" w:color="auto"/>
            <w:bottom w:val="none" w:sz="0" w:space="0" w:color="auto"/>
            <w:right w:val="none" w:sz="0" w:space="0" w:color="auto"/>
          </w:divBdr>
        </w:div>
        <w:div w:id="1348214876">
          <w:marLeft w:val="0"/>
          <w:marRight w:val="0"/>
          <w:marTop w:val="0"/>
          <w:marBottom w:val="0"/>
          <w:divBdr>
            <w:top w:val="none" w:sz="0" w:space="0" w:color="auto"/>
            <w:left w:val="none" w:sz="0" w:space="0" w:color="auto"/>
            <w:bottom w:val="none" w:sz="0" w:space="0" w:color="auto"/>
            <w:right w:val="none" w:sz="0" w:space="0" w:color="auto"/>
          </w:divBdr>
        </w:div>
        <w:div w:id="1359549574">
          <w:marLeft w:val="0"/>
          <w:marRight w:val="0"/>
          <w:marTop w:val="0"/>
          <w:marBottom w:val="0"/>
          <w:divBdr>
            <w:top w:val="none" w:sz="0" w:space="0" w:color="auto"/>
            <w:left w:val="none" w:sz="0" w:space="0" w:color="auto"/>
            <w:bottom w:val="none" w:sz="0" w:space="0" w:color="auto"/>
            <w:right w:val="none" w:sz="0" w:space="0" w:color="auto"/>
          </w:divBdr>
        </w:div>
        <w:div w:id="1374496092">
          <w:marLeft w:val="0"/>
          <w:marRight w:val="0"/>
          <w:marTop w:val="0"/>
          <w:marBottom w:val="0"/>
          <w:divBdr>
            <w:top w:val="none" w:sz="0" w:space="0" w:color="auto"/>
            <w:left w:val="none" w:sz="0" w:space="0" w:color="auto"/>
            <w:bottom w:val="none" w:sz="0" w:space="0" w:color="auto"/>
            <w:right w:val="none" w:sz="0" w:space="0" w:color="auto"/>
          </w:divBdr>
        </w:div>
        <w:div w:id="1377507952">
          <w:marLeft w:val="0"/>
          <w:marRight w:val="0"/>
          <w:marTop w:val="0"/>
          <w:marBottom w:val="0"/>
          <w:divBdr>
            <w:top w:val="none" w:sz="0" w:space="0" w:color="auto"/>
            <w:left w:val="none" w:sz="0" w:space="0" w:color="auto"/>
            <w:bottom w:val="none" w:sz="0" w:space="0" w:color="auto"/>
            <w:right w:val="none" w:sz="0" w:space="0" w:color="auto"/>
          </w:divBdr>
        </w:div>
        <w:div w:id="1625429825">
          <w:marLeft w:val="0"/>
          <w:marRight w:val="0"/>
          <w:marTop w:val="0"/>
          <w:marBottom w:val="0"/>
          <w:divBdr>
            <w:top w:val="none" w:sz="0" w:space="0" w:color="auto"/>
            <w:left w:val="none" w:sz="0" w:space="0" w:color="auto"/>
            <w:bottom w:val="none" w:sz="0" w:space="0" w:color="auto"/>
            <w:right w:val="none" w:sz="0" w:space="0" w:color="auto"/>
          </w:divBdr>
        </w:div>
        <w:div w:id="1626698961">
          <w:marLeft w:val="0"/>
          <w:marRight w:val="0"/>
          <w:marTop w:val="0"/>
          <w:marBottom w:val="0"/>
          <w:divBdr>
            <w:top w:val="none" w:sz="0" w:space="0" w:color="auto"/>
            <w:left w:val="none" w:sz="0" w:space="0" w:color="auto"/>
            <w:bottom w:val="none" w:sz="0" w:space="0" w:color="auto"/>
            <w:right w:val="none" w:sz="0" w:space="0" w:color="auto"/>
          </w:divBdr>
        </w:div>
        <w:div w:id="1658219804">
          <w:marLeft w:val="0"/>
          <w:marRight w:val="0"/>
          <w:marTop w:val="0"/>
          <w:marBottom w:val="0"/>
          <w:divBdr>
            <w:top w:val="none" w:sz="0" w:space="0" w:color="auto"/>
            <w:left w:val="none" w:sz="0" w:space="0" w:color="auto"/>
            <w:bottom w:val="none" w:sz="0" w:space="0" w:color="auto"/>
            <w:right w:val="none" w:sz="0" w:space="0" w:color="auto"/>
          </w:divBdr>
        </w:div>
        <w:div w:id="1731997072">
          <w:marLeft w:val="0"/>
          <w:marRight w:val="0"/>
          <w:marTop w:val="0"/>
          <w:marBottom w:val="0"/>
          <w:divBdr>
            <w:top w:val="none" w:sz="0" w:space="0" w:color="auto"/>
            <w:left w:val="none" w:sz="0" w:space="0" w:color="auto"/>
            <w:bottom w:val="none" w:sz="0" w:space="0" w:color="auto"/>
            <w:right w:val="none" w:sz="0" w:space="0" w:color="auto"/>
          </w:divBdr>
        </w:div>
        <w:div w:id="1745447938">
          <w:marLeft w:val="0"/>
          <w:marRight w:val="0"/>
          <w:marTop w:val="0"/>
          <w:marBottom w:val="0"/>
          <w:divBdr>
            <w:top w:val="none" w:sz="0" w:space="0" w:color="auto"/>
            <w:left w:val="none" w:sz="0" w:space="0" w:color="auto"/>
            <w:bottom w:val="none" w:sz="0" w:space="0" w:color="auto"/>
            <w:right w:val="none" w:sz="0" w:space="0" w:color="auto"/>
          </w:divBdr>
        </w:div>
        <w:div w:id="1748574713">
          <w:marLeft w:val="0"/>
          <w:marRight w:val="0"/>
          <w:marTop w:val="0"/>
          <w:marBottom w:val="0"/>
          <w:divBdr>
            <w:top w:val="none" w:sz="0" w:space="0" w:color="auto"/>
            <w:left w:val="none" w:sz="0" w:space="0" w:color="auto"/>
            <w:bottom w:val="none" w:sz="0" w:space="0" w:color="auto"/>
            <w:right w:val="none" w:sz="0" w:space="0" w:color="auto"/>
          </w:divBdr>
        </w:div>
        <w:div w:id="1753624007">
          <w:marLeft w:val="0"/>
          <w:marRight w:val="0"/>
          <w:marTop w:val="0"/>
          <w:marBottom w:val="0"/>
          <w:divBdr>
            <w:top w:val="none" w:sz="0" w:space="0" w:color="auto"/>
            <w:left w:val="none" w:sz="0" w:space="0" w:color="auto"/>
            <w:bottom w:val="none" w:sz="0" w:space="0" w:color="auto"/>
            <w:right w:val="none" w:sz="0" w:space="0" w:color="auto"/>
          </w:divBdr>
        </w:div>
        <w:div w:id="1810895458">
          <w:marLeft w:val="0"/>
          <w:marRight w:val="0"/>
          <w:marTop w:val="0"/>
          <w:marBottom w:val="0"/>
          <w:divBdr>
            <w:top w:val="none" w:sz="0" w:space="0" w:color="auto"/>
            <w:left w:val="none" w:sz="0" w:space="0" w:color="auto"/>
            <w:bottom w:val="none" w:sz="0" w:space="0" w:color="auto"/>
            <w:right w:val="none" w:sz="0" w:space="0" w:color="auto"/>
          </w:divBdr>
        </w:div>
        <w:div w:id="1846477983">
          <w:marLeft w:val="0"/>
          <w:marRight w:val="0"/>
          <w:marTop w:val="0"/>
          <w:marBottom w:val="0"/>
          <w:divBdr>
            <w:top w:val="none" w:sz="0" w:space="0" w:color="auto"/>
            <w:left w:val="none" w:sz="0" w:space="0" w:color="auto"/>
            <w:bottom w:val="none" w:sz="0" w:space="0" w:color="auto"/>
            <w:right w:val="none" w:sz="0" w:space="0" w:color="auto"/>
          </w:divBdr>
        </w:div>
        <w:div w:id="1871530970">
          <w:marLeft w:val="0"/>
          <w:marRight w:val="0"/>
          <w:marTop w:val="0"/>
          <w:marBottom w:val="0"/>
          <w:divBdr>
            <w:top w:val="none" w:sz="0" w:space="0" w:color="auto"/>
            <w:left w:val="none" w:sz="0" w:space="0" w:color="auto"/>
            <w:bottom w:val="none" w:sz="0" w:space="0" w:color="auto"/>
            <w:right w:val="none" w:sz="0" w:space="0" w:color="auto"/>
          </w:divBdr>
        </w:div>
        <w:div w:id="1895190958">
          <w:marLeft w:val="0"/>
          <w:marRight w:val="0"/>
          <w:marTop w:val="0"/>
          <w:marBottom w:val="0"/>
          <w:divBdr>
            <w:top w:val="none" w:sz="0" w:space="0" w:color="auto"/>
            <w:left w:val="none" w:sz="0" w:space="0" w:color="auto"/>
            <w:bottom w:val="none" w:sz="0" w:space="0" w:color="auto"/>
            <w:right w:val="none" w:sz="0" w:space="0" w:color="auto"/>
          </w:divBdr>
        </w:div>
        <w:div w:id="1969120233">
          <w:marLeft w:val="0"/>
          <w:marRight w:val="0"/>
          <w:marTop w:val="0"/>
          <w:marBottom w:val="0"/>
          <w:divBdr>
            <w:top w:val="none" w:sz="0" w:space="0" w:color="auto"/>
            <w:left w:val="none" w:sz="0" w:space="0" w:color="auto"/>
            <w:bottom w:val="none" w:sz="0" w:space="0" w:color="auto"/>
            <w:right w:val="none" w:sz="0" w:space="0" w:color="auto"/>
          </w:divBdr>
        </w:div>
        <w:div w:id="1980067453">
          <w:marLeft w:val="0"/>
          <w:marRight w:val="0"/>
          <w:marTop w:val="0"/>
          <w:marBottom w:val="0"/>
          <w:divBdr>
            <w:top w:val="none" w:sz="0" w:space="0" w:color="auto"/>
            <w:left w:val="none" w:sz="0" w:space="0" w:color="auto"/>
            <w:bottom w:val="none" w:sz="0" w:space="0" w:color="auto"/>
            <w:right w:val="none" w:sz="0" w:space="0" w:color="auto"/>
          </w:divBdr>
        </w:div>
        <w:div w:id="1991327073">
          <w:marLeft w:val="0"/>
          <w:marRight w:val="0"/>
          <w:marTop w:val="0"/>
          <w:marBottom w:val="0"/>
          <w:divBdr>
            <w:top w:val="none" w:sz="0" w:space="0" w:color="auto"/>
            <w:left w:val="none" w:sz="0" w:space="0" w:color="auto"/>
            <w:bottom w:val="none" w:sz="0" w:space="0" w:color="auto"/>
            <w:right w:val="none" w:sz="0" w:space="0" w:color="auto"/>
          </w:divBdr>
        </w:div>
        <w:div w:id="2005667423">
          <w:marLeft w:val="0"/>
          <w:marRight w:val="0"/>
          <w:marTop w:val="0"/>
          <w:marBottom w:val="0"/>
          <w:divBdr>
            <w:top w:val="none" w:sz="0" w:space="0" w:color="auto"/>
            <w:left w:val="none" w:sz="0" w:space="0" w:color="auto"/>
            <w:bottom w:val="none" w:sz="0" w:space="0" w:color="auto"/>
            <w:right w:val="none" w:sz="0" w:space="0" w:color="auto"/>
          </w:divBdr>
        </w:div>
        <w:div w:id="2123837564">
          <w:marLeft w:val="0"/>
          <w:marRight w:val="0"/>
          <w:marTop w:val="0"/>
          <w:marBottom w:val="0"/>
          <w:divBdr>
            <w:top w:val="none" w:sz="0" w:space="0" w:color="auto"/>
            <w:left w:val="none" w:sz="0" w:space="0" w:color="auto"/>
            <w:bottom w:val="none" w:sz="0" w:space="0" w:color="auto"/>
            <w:right w:val="none" w:sz="0" w:space="0" w:color="auto"/>
          </w:divBdr>
        </w:div>
      </w:divsChild>
    </w:div>
    <w:div w:id="1546480418">
      <w:bodyDiv w:val="1"/>
      <w:marLeft w:val="0"/>
      <w:marRight w:val="0"/>
      <w:marTop w:val="0"/>
      <w:marBottom w:val="0"/>
      <w:divBdr>
        <w:top w:val="none" w:sz="0" w:space="0" w:color="auto"/>
        <w:left w:val="none" w:sz="0" w:space="0" w:color="auto"/>
        <w:bottom w:val="none" w:sz="0" w:space="0" w:color="auto"/>
        <w:right w:val="none" w:sz="0" w:space="0" w:color="auto"/>
      </w:divBdr>
      <w:divsChild>
        <w:div w:id="642662727">
          <w:marLeft w:val="0"/>
          <w:marRight w:val="0"/>
          <w:marTop w:val="0"/>
          <w:marBottom w:val="0"/>
          <w:divBdr>
            <w:top w:val="none" w:sz="0" w:space="0" w:color="auto"/>
            <w:left w:val="none" w:sz="0" w:space="0" w:color="auto"/>
            <w:bottom w:val="none" w:sz="0" w:space="0" w:color="auto"/>
            <w:right w:val="none" w:sz="0" w:space="0" w:color="auto"/>
          </w:divBdr>
        </w:div>
      </w:divsChild>
    </w:div>
    <w:div w:id="1549805528">
      <w:bodyDiv w:val="1"/>
      <w:marLeft w:val="0"/>
      <w:marRight w:val="0"/>
      <w:marTop w:val="0"/>
      <w:marBottom w:val="0"/>
      <w:divBdr>
        <w:top w:val="none" w:sz="0" w:space="0" w:color="auto"/>
        <w:left w:val="none" w:sz="0" w:space="0" w:color="auto"/>
        <w:bottom w:val="none" w:sz="0" w:space="0" w:color="auto"/>
        <w:right w:val="none" w:sz="0" w:space="0" w:color="auto"/>
      </w:divBdr>
      <w:divsChild>
        <w:div w:id="397292049">
          <w:marLeft w:val="0"/>
          <w:marRight w:val="0"/>
          <w:marTop w:val="0"/>
          <w:marBottom w:val="0"/>
          <w:divBdr>
            <w:top w:val="none" w:sz="0" w:space="0" w:color="auto"/>
            <w:left w:val="none" w:sz="0" w:space="0" w:color="auto"/>
            <w:bottom w:val="none" w:sz="0" w:space="0" w:color="auto"/>
            <w:right w:val="none" w:sz="0" w:space="0" w:color="auto"/>
          </w:divBdr>
        </w:div>
      </w:divsChild>
    </w:div>
    <w:div w:id="1550801502">
      <w:bodyDiv w:val="1"/>
      <w:marLeft w:val="0"/>
      <w:marRight w:val="0"/>
      <w:marTop w:val="0"/>
      <w:marBottom w:val="0"/>
      <w:divBdr>
        <w:top w:val="none" w:sz="0" w:space="0" w:color="auto"/>
        <w:left w:val="none" w:sz="0" w:space="0" w:color="auto"/>
        <w:bottom w:val="none" w:sz="0" w:space="0" w:color="auto"/>
        <w:right w:val="none" w:sz="0" w:space="0" w:color="auto"/>
      </w:divBdr>
      <w:divsChild>
        <w:div w:id="12072584">
          <w:marLeft w:val="0"/>
          <w:marRight w:val="0"/>
          <w:marTop w:val="0"/>
          <w:marBottom w:val="0"/>
          <w:divBdr>
            <w:top w:val="none" w:sz="0" w:space="0" w:color="auto"/>
            <w:left w:val="none" w:sz="0" w:space="0" w:color="auto"/>
            <w:bottom w:val="none" w:sz="0" w:space="0" w:color="auto"/>
            <w:right w:val="none" w:sz="0" w:space="0" w:color="auto"/>
          </w:divBdr>
        </w:div>
        <w:div w:id="120344965">
          <w:marLeft w:val="0"/>
          <w:marRight w:val="0"/>
          <w:marTop w:val="0"/>
          <w:marBottom w:val="0"/>
          <w:divBdr>
            <w:top w:val="none" w:sz="0" w:space="0" w:color="auto"/>
            <w:left w:val="none" w:sz="0" w:space="0" w:color="auto"/>
            <w:bottom w:val="none" w:sz="0" w:space="0" w:color="auto"/>
            <w:right w:val="none" w:sz="0" w:space="0" w:color="auto"/>
          </w:divBdr>
        </w:div>
        <w:div w:id="127862598">
          <w:marLeft w:val="0"/>
          <w:marRight w:val="0"/>
          <w:marTop w:val="0"/>
          <w:marBottom w:val="0"/>
          <w:divBdr>
            <w:top w:val="none" w:sz="0" w:space="0" w:color="auto"/>
            <w:left w:val="none" w:sz="0" w:space="0" w:color="auto"/>
            <w:bottom w:val="none" w:sz="0" w:space="0" w:color="auto"/>
            <w:right w:val="none" w:sz="0" w:space="0" w:color="auto"/>
          </w:divBdr>
        </w:div>
        <w:div w:id="183134183">
          <w:marLeft w:val="0"/>
          <w:marRight w:val="0"/>
          <w:marTop w:val="0"/>
          <w:marBottom w:val="0"/>
          <w:divBdr>
            <w:top w:val="none" w:sz="0" w:space="0" w:color="auto"/>
            <w:left w:val="none" w:sz="0" w:space="0" w:color="auto"/>
            <w:bottom w:val="none" w:sz="0" w:space="0" w:color="auto"/>
            <w:right w:val="none" w:sz="0" w:space="0" w:color="auto"/>
          </w:divBdr>
        </w:div>
        <w:div w:id="203491435">
          <w:marLeft w:val="0"/>
          <w:marRight w:val="0"/>
          <w:marTop w:val="0"/>
          <w:marBottom w:val="0"/>
          <w:divBdr>
            <w:top w:val="none" w:sz="0" w:space="0" w:color="auto"/>
            <w:left w:val="none" w:sz="0" w:space="0" w:color="auto"/>
            <w:bottom w:val="none" w:sz="0" w:space="0" w:color="auto"/>
            <w:right w:val="none" w:sz="0" w:space="0" w:color="auto"/>
          </w:divBdr>
        </w:div>
        <w:div w:id="439419607">
          <w:marLeft w:val="0"/>
          <w:marRight w:val="0"/>
          <w:marTop w:val="0"/>
          <w:marBottom w:val="0"/>
          <w:divBdr>
            <w:top w:val="none" w:sz="0" w:space="0" w:color="auto"/>
            <w:left w:val="none" w:sz="0" w:space="0" w:color="auto"/>
            <w:bottom w:val="none" w:sz="0" w:space="0" w:color="auto"/>
            <w:right w:val="none" w:sz="0" w:space="0" w:color="auto"/>
          </w:divBdr>
        </w:div>
        <w:div w:id="502864578">
          <w:marLeft w:val="0"/>
          <w:marRight w:val="0"/>
          <w:marTop w:val="0"/>
          <w:marBottom w:val="0"/>
          <w:divBdr>
            <w:top w:val="none" w:sz="0" w:space="0" w:color="auto"/>
            <w:left w:val="none" w:sz="0" w:space="0" w:color="auto"/>
            <w:bottom w:val="none" w:sz="0" w:space="0" w:color="auto"/>
            <w:right w:val="none" w:sz="0" w:space="0" w:color="auto"/>
          </w:divBdr>
        </w:div>
        <w:div w:id="982932899">
          <w:marLeft w:val="0"/>
          <w:marRight w:val="0"/>
          <w:marTop w:val="0"/>
          <w:marBottom w:val="0"/>
          <w:divBdr>
            <w:top w:val="none" w:sz="0" w:space="0" w:color="auto"/>
            <w:left w:val="none" w:sz="0" w:space="0" w:color="auto"/>
            <w:bottom w:val="none" w:sz="0" w:space="0" w:color="auto"/>
            <w:right w:val="none" w:sz="0" w:space="0" w:color="auto"/>
          </w:divBdr>
        </w:div>
        <w:div w:id="1308511274">
          <w:marLeft w:val="0"/>
          <w:marRight w:val="0"/>
          <w:marTop w:val="0"/>
          <w:marBottom w:val="0"/>
          <w:divBdr>
            <w:top w:val="none" w:sz="0" w:space="0" w:color="auto"/>
            <w:left w:val="none" w:sz="0" w:space="0" w:color="auto"/>
            <w:bottom w:val="none" w:sz="0" w:space="0" w:color="auto"/>
            <w:right w:val="none" w:sz="0" w:space="0" w:color="auto"/>
          </w:divBdr>
        </w:div>
        <w:div w:id="1480154283">
          <w:marLeft w:val="0"/>
          <w:marRight w:val="0"/>
          <w:marTop w:val="0"/>
          <w:marBottom w:val="0"/>
          <w:divBdr>
            <w:top w:val="none" w:sz="0" w:space="0" w:color="auto"/>
            <w:left w:val="none" w:sz="0" w:space="0" w:color="auto"/>
            <w:bottom w:val="none" w:sz="0" w:space="0" w:color="auto"/>
            <w:right w:val="none" w:sz="0" w:space="0" w:color="auto"/>
          </w:divBdr>
        </w:div>
        <w:div w:id="1962153641">
          <w:marLeft w:val="0"/>
          <w:marRight w:val="0"/>
          <w:marTop w:val="0"/>
          <w:marBottom w:val="0"/>
          <w:divBdr>
            <w:top w:val="none" w:sz="0" w:space="0" w:color="auto"/>
            <w:left w:val="none" w:sz="0" w:space="0" w:color="auto"/>
            <w:bottom w:val="none" w:sz="0" w:space="0" w:color="auto"/>
            <w:right w:val="none" w:sz="0" w:space="0" w:color="auto"/>
          </w:divBdr>
        </w:div>
      </w:divsChild>
    </w:div>
    <w:div w:id="1553729486">
      <w:bodyDiv w:val="1"/>
      <w:marLeft w:val="0"/>
      <w:marRight w:val="0"/>
      <w:marTop w:val="0"/>
      <w:marBottom w:val="0"/>
      <w:divBdr>
        <w:top w:val="none" w:sz="0" w:space="0" w:color="auto"/>
        <w:left w:val="none" w:sz="0" w:space="0" w:color="auto"/>
        <w:bottom w:val="none" w:sz="0" w:space="0" w:color="auto"/>
        <w:right w:val="none" w:sz="0" w:space="0" w:color="auto"/>
      </w:divBdr>
    </w:div>
    <w:div w:id="1555703414">
      <w:bodyDiv w:val="1"/>
      <w:marLeft w:val="0"/>
      <w:marRight w:val="0"/>
      <w:marTop w:val="0"/>
      <w:marBottom w:val="0"/>
      <w:divBdr>
        <w:top w:val="none" w:sz="0" w:space="0" w:color="auto"/>
        <w:left w:val="none" w:sz="0" w:space="0" w:color="auto"/>
        <w:bottom w:val="none" w:sz="0" w:space="0" w:color="auto"/>
        <w:right w:val="none" w:sz="0" w:space="0" w:color="auto"/>
      </w:divBdr>
    </w:div>
    <w:div w:id="1579711522">
      <w:bodyDiv w:val="1"/>
      <w:marLeft w:val="0"/>
      <w:marRight w:val="0"/>
      <w:marTop w:val="0"/>
      <w:marBottom w:val="0"/>
      <w:divBdr>
        <w:top w:val="none" w:sz="0" w:space="0" w:color="auto"/>
        <w:left w:val="none" w:sz="0" w:space="0" w:color="auto"/>
        <w:bottom w:val="none" w:sz="0" w:space="0" w:color="auto"/>
        <w:right w:val="none" w:sz="0" w:space="0" w:color="auto"/>
      </w:divBdr>
      <w:divsChild>
        <w:div w:id="981541813">
          <w:marLeft w:val="0"/>
          <w:marRight w:val="0"/>
          <w:marTop w:val="0"/>
          <w:marBottom w:val="0"/>
          <w:divBdr>
            <w:top w:val="none" w:sz="0" w:space="0" w:color="auto"/>
            <w:left w:val="none" w:sz="0" w:space="0" w:color="auto"/>
            <w:bottom w:val="none" w:sz="0" w:space="0" w:color="auto"/>
            <w:right w:val="none" w:sz="0" w:space="0" w:color="auto"/>
          </w:divBdr>
        </w:div>
        <w:div w:id="1365473127">
          <w:marLeft w:val="0"/>
          <w:marRight w:val="0"/>
          <w:marTop w:val="0"/>
          <w:marBottom w:val="0"/>
          <w:divBdr>
            <w:top w:val="none" w:sz="0" w:space="0" w:color="auto"/>
            <w:left w:val="none" w:sz="0" w:space="0" w:color="auto"/>
            <w:bottom w:val="none" w:sz="0" w:space="0" w:color="auto"/>
            <w:right w:val="none" w:sz="0" w:space="0" w:color="auto"/>
          </w:divBdr>
        </w:div>
        <w:div w:id="1463109863">
          <w:marLeft w:val="0"/>
          <w:marRight w:val="0"/>
          <w:marTop w:val="0"/>
          <w:marBottom w:val="0"/>
          <w:divBdr>
            <w:top w:val="none" w:sz="0" w:space="0" w:color="auto"/>
            <w:left w:val="none" w:sz="0" w:space="0" w:color="auto"/>
            <w:bottom w:val="none" w:sz="0" w:space="0" w:color="auto"/>
            <w:right w:val="none" w:sz="0" w:space="0" w:color="auto"/>
          </w:divBdr>
        </w:div>
        <w:div w:id="1468694370">
          <w:marLeft w:val="0"/>
          <w:marRight w:val="0"/>
          <w:marTop w:val="0"/>
          <w:marBottom w:val="0"/>
          <w:divBdr>
            <w:top w:val="none" w:sz="0" w:space="0" w:color="auto"/>
            <w:left w:val="none" w:sz="0" w:space="0" w:color="auto"/>
            <w:bottom w:val="none" w:sz="0" w:space="0" w:color="auto"/>
            <w:right w:val="none" w:sz="0" w:space="0" w:color="auto"/>
          </w:divBdr>
        </w:div>
        <w:div w:id="1599831475">
          <w:marLeft w:val="0"/>
          <w:marRight w:val="0"/>
          <w:marTop w:val="0"/>
          <w:marBottom w:val="0"/>
          <w:divBdr>
            <w:top w:val="none" w:sz="0" w:space="0" w:color="auto"/>
            <w:left w:val="none" w:sz="0" w:space="0" w:color="auto"/>
            <w:bottom w:val="none" w:sz="0" w:space="0" w:color="auto"/>
            <w:right w:val="none" w:sz="0" w:space="0" w:color="auto"/>
          </w:divBdr>
        </w:div>
        <w:div w:id="1600022293">
          <w:marLeft w:val="0"/>
          <w:marRight w:val="0"/>
          <w:marTop w:val="0"/>
          <w:marBottom w:val="0"/>
          <w:divBdr>
            <w:top w:val="none" w:sz="0" w:space="0" w:color="auto"/>
            <w:left w:val="none" w:sz="0" w:space="0" w:color="auto"/>
            <w:bottom w:val="none" w:sz="0" w:space="0" w:color="auto"/>
            <w:right w:val="none" w:sz="0" w:space="0" w:color="auto"/>
          </w:divBdr>
        </w:div>
        <w:div w:id="1841701946">
          <w:marLeft w:val="0"/>
          <w:marRight w:val="0"/>
          <w:marTop w:val="0"/>
          <w:marBottom w:val="0"/>
          <w:divBdr>
            <w:top w:val="none" w:sz="0" w:space="0" w:color="auto"/>
            <w:left w:val="none" w:sz="0" w:space="0" w:color="auto"/>
            <w:bottom w:val="none" w:sz="0" w:space="0" w:color="auto"/>
            <w:right w:val="none" w:sz="0" w:space="0" w:color="auto"/>
          </w:divBdr>
        </w:div>
        <w:div w:id="1908225810">
          <w:marLeft w:val="0"/>
          <w:marRight w:val="0"/>
          <w:marTop w:val="0"/>
          <w:marBottom w:val="0"/>
          <w:divBdr>
            <w:top w:val="none" w:sz="0" w:space="0" w:color="auto"/>
            <w:left w:val="none" w:sz="0" w:space="0" w:color="auto"/>
            <w:bottom w:val="none" w:sz="0" w:space="0" w:color="auto"/>
            <w:right w:val="none" w:sz="0" w:space="0" w:color="auto"/>
          </w:divBdr>
        </w:div>
      </w:divsChild>
    </w:div>
    <w:div w:id="1588808833">
      <w:bodyDiv w:val="1"/>
      <w:marLeft w:val="0"/>
      <w:marRight w:val="0"/>
      <w:marTop w:val="0"/>
      <w:marBottom w:val="0"/>
      <w:divBdr>
        <w:top w:val="none" w:sz="0" w:space="0" w:color="auto"/>
        <w:left w:val="none" w:sz="0" w:space="0" w:color="auto"/>
        <w:bottom w:val="none" w:sz="0" w:space="0" w:color="auto"/>
        <w:right w:val="none" w:sz="0" w:space="0" w:color="auto"/>
      </w:divBdr>
      <w:divsChild>
        <w:div w:id="11541486">
          <w:marLeft w:val="0"/>
          <w:marRight w:val="0"/>
          <w:marTop w:val="0"/>
          <w:marBottom w:val="0"/>
          <w:divBdr>
            <w:top w:val="none" w:sz="0" w:space="0" w:color="auto"/>
            <w:left w:val="none" w:sz="0" w:space="0" w:color="auto"/>
            <w:bottom w:val="none" w:sz="0" w:space="0" w:color="auto"/>
            <w:right w:val="none" w:sz="0" w:space="0" w:color="auto"/>
          </w:divBdr>
        </w:div>
        <w:div w:id="92211971">
          <w:marLeft w:val="0"/>
          <w:marRight w:val="0"/>
          <w:marTop w:val="0"/>
          <w:marBottom w:val="0"/>
          <w:divBdr>
            <w:top w:val="none" w:sz="0" w:space="0" w:color="auto"/>
            <w:left w:val="none" w:sz="0" w:space="0" w:color="auto"/>
            <w:bottom w:val="none" w:sz="0" w:space="0" w:color="auto"/>
            <w:right w:val="none" w:sz="0" w:space="0" w:color="auto"/>
          </w:divBdr>
        </w:div>
        <w:div w:id="112022861">
          <w:marLeft w:val="0"/>
          <w:marRight w:val="0"/>
          <w:marTop w:val="0"/>
          <w:marBottom w:val="0"/>
          <w:divBdr>
            <w:top w:val="none" w:sz="0" w:space="0" w:color="auto"/>
            <w:left w:val="none" w:sz="0" w:space="0" w:color="auto"/>
            <w:bottom w:val="none" w:sz="0" w:space="0" w:color="auto"/>
            <w:right w:val="none" w:sz="0" w:space="0" w:color="auto"/>
          </w:divBdr>
        </w:div>
        <w:div w:id="137263054">
          <w:marLeft w:val="0"/>
          <w:marRight w:val="0"/>
          <w:marTop w:val="0"/>
          <w:marBottom w:val="0"/>
          <w:divBdr>
            <w:top w:val="none" w:sz="0" w:space="0" w:color="auto"/>
            <w:left w:val="none" w:sz="0" w:space="0" w:color="auto"/>
            <w:bottom w:val="none" w:sz="0" w:space="0" w:color="auto"/>
            <w:right w:val="none" w:sz="0" w:space="0" w:color="auto"/>
          </w:divBdr>
        </w:div>
        <w:div w:id="264308971">
          <w:marLeft w:val="0"/>
          <w:marRight w:val="0"/>
          <w:marTop w:val="0"/>
          <w:marBottom w:val="0"/>
          <w:divBdr>
            <w:top w:val="none" w:sz="0" w:space="0" w:color="auto"/>
            <w:left w:val="none" w:sz="0" w:space="0" w:color="auto"/>
            <w:bottom w:val="none" w:sz="0" w:space="0" w:color="auto"/>
            <w:right w:val="none" w:sz="0" w:space="0" w:color="auto"/>
          </w:divBdr>
        </w:div>
        <w:div w:id="304168705">
          <w:marLeft w:val="0"/>
          <w:marRight w:val="0"/>
          <w:marTop w:val="0"/>
          <w:marBottom w:val="0"/>
          <w:divBdr>
            <w:top w:val="none" w:sz="0" w:space="0" w:color="auto"/>
            <w:left w:val="none" w:sz="0" w:space="0" w:color="auto"/>
            <w:bottom w:val="none" w:sz="0" w:space="0" w:color="auto"/>
            <w:right w:val="none" w:sz="0" w:space="0" w:color="auto"/>
          </w:divBdr>
        </w:div>
        <w:div w:id="316804061">
          <w:marLeft w:val="0"/>
          <w:marRight w:val="0"/>
          <w:marTop w:val="0"/>
          <w:marBottom w:val="0"/>
          <w:divBdr>
            <w:top w:val="none" w:sz="0" w:space="0" w:color="auto"/>
            <w:left w:val="none" w:sz="0" w:space="0" w:color="auto"/>
            <w:bottom w:val="none" w:sz="0" w:space="0" w:color="auto"/>
            <w:right w:val="none" w:sz="0" w:space="0" w:color="auto"/>
          </w:divBdr>
        </w:div>
        <w:div w:id="343285784">
          <w:marLeft w:val="0"/>
          <w:marRight w:val="0"/>
          <w:marTop w:val="0"/>
          <w:marBottom w:val="0"/>
          <w:divBdr>
            <w:top w:val="none" w:sz="0" w:space="0" w:color="auto"/>
            <w:left w:val="none" w:sz="0" w:space="0" w:color="auto"/>
            <w:bottom w:val="none" w:sz="0" w:space="0" w:color="auto"/>
            <w:right w:val="none" w:sz="0" w:space="0" w:color="auto"/>
          </w:divBdr>
        </w:div>
        <w:div w:id="381835445">
          <w:marLeft w:val="0"/>
          <w:marRight w:val="0"/>
          <w:marTop w:val="0"/>
          <w:marBottom w:val="0"/>
          <w:divBdr>
            <w:top w:val="none" w:sz="0" w:space="0" w:color="auto"/>
            <w:left w:val="none" w:sz="0" w:space="0" w:color="auto"/>
            <w:bottom w:val="none" w:sz="0" w:space="0" w:color="auto"/>
            <w:right w:val="none" w:sz="0" w:space="0" w:color="auto"/>
          </w:divBdr>
        </w:div>
        <w:div w:id="410200851">
          <w:marLeft w:val="0"/>
          <w:marRight w:val="0"/>
          <w:marTop w:val="0"/>
          <w:marBottom w:val="0"/>
          <w:divBdr>
            <w:top w:val="none" w:sz="0" w:space="0" w:color="auto"/>
            <w:left w:val="none" w:sz="0" w:space="0" w:color="auto"/>
            <w:bottom w:val="none" w:sz="0" w:space="0" w:color="auto"/>
            <w:right w:val="none" w:sz="0" w:space="0" w:color="auto"/>
          </w:divBdr>
        </w:div>
        <w:div w:id="414134944">
          <w:marLeft w:val="0"/>
          <w:marRight w:val="0"/>
          <w:marTop w:val="0"/>
          <w:marBottom w:val="0"/>
          <w:divBdr>
            <w:top w:val="none" w:sz="0" w:space="0" w:color="auto"/>
            <w:left w:val="none" w:sz="0" w:space="0" w:color="auto"/>
            <w:bottom w:val="none" w:sz="0" w:space="0" w:color="auto"/>
            <w:right w:val="none" w:sz="0" w:space="0" w:color="auto"/>
          </w:divBdr>
        </w:div>
        <w:div w:id="489292230">
          <w:marLeft w:val="0"/>
          <w:marRight w:val="0"/>
          <w:marTop w:val="0"/>
          <w:marBottom w:val="0"/>
          <w:divBdr>
            <w:top w:val="none" w:sz="0" w:space="0" w:color="auto"/>
            <w:left w:val="none" w:sz="0" w:space="0" w:color="auto"/>
            <w:bottom w:val="none" w:sz="0" w:space="0" w:color="auto"/>
            <w:right w:val="none" w:sz="0" w:space="0" w:color="auto"/>
          </w:divBdr>
        </w:div>
        <w:div w:id="501772756">
          <w:marLeft w:val="0"/>
          <w:marRight w:val="0"/>
          <w:marTop w:val="0"/>
          <w:marBottom w:val="0"/>
          <w:divBdr>
            <w:top w:val="none" w:sz="0" w:space="0" w:color="auto"/>
            <w:left w:val="none" w:sz="0" w:space="0" w:color="auto"/>
            <w:bottom w:val="none" w:sz="0" w:space="0" w:color="auto"/>
            <w:right w:val="none" w:sz="0" w:space="0" w:color="auto"/>
          </w:divBdr>
        </w:div>
        <w:div w:id="555776989">
          <w:marLeft w:val="0"/>
          <w:marRight w:val="0"/>
          <w:marTop w:val="0"/>
          <w:marBottom w:val="0"/>
          <w:divBdr>
            <w:top w:val="none" w:sz="0" w:space="0" w:color="auto"/>
            <w:left w:val="none" w:sz="0" w:space="0" w:color="auto"/>
            <w:bottom w:val="none" w:sz="0" w:space="0" w:color="auto"/>
            <w:right w:val="none" w:sz="0" w:space="0" w:color="auto"/>
          </w:divBdr>
        </w:div>
        <w:div w:id="559243145">
          <w:marLeft w:val="0"/>
          <w:marRight w:val="0"/>
          <w:marTop w:val="0"/>
          <w:marBottom w:val="0"/>
          <w:divBdr>
            <w:top w:val="none" w:sz="0" w:space="0" w:color="auto"/>
            <w:left w:val="none" w:sz="0" w:space="0" w:color="auto"/>
            <w:bottom w:val="none" w:sz="0" w:space="0" w:color="auto"/>
            <w:right w:val="none" w:sz="0" w:space="0" w:color="auto"/>
          </w:divBdr>
        </w:div>
        <w:div w:id="571237526">
          <w:marLeft w:val="0"/>
          <w:marRight w:val="0"/>
          <w:marTop w:val="0"/>
          <w:marBottom w:val="0"/>
          <w:divBdr>
            <w:top w:val="none" w:sz="0" w:space="0" w:color="auto"/>
            <w:left w:val="none" w:sz="0" w:space="0" w:color="auto"/>
            <w:bottom w:val="none" w:sz="0" w:space="0" w:color="auto"/>
            <w:right w:val="none" w:sz="0" w:space="0" w:color="auto"/>
          </w:divBdr>
        </w:div>
        <w:div w:id="598484004">
          <w:marLeft w:val="0"/>
          <w:marRight w:val="0"/>
          <w:marTop w:val="0"/>
          <w:marBottom w:val="0"/>
          <w:divBdr>
            <w:top w:val="none" w:sz="0" w:space="0" w:color="auto"/>
            <w:left w:val="none" w:sz="0" w:space="0" w:color="auto"/>
            <w:bottom w:val="none" w:sz="0" w:space="0" w:color="auto"/>
            <w:right w:val="none" w:sz="0" w:space="0" w:color="auto"/>
          </w:divBdr>
        </w:div>
        <w:div w:id="600530856">
          <w:marLeft w:val="0"/>
          <w:marRight w:val="0"/>
          <w:marTop w:val="0"/>
          <w:marBottom w:val="0"/>
          <w:divBdr>
            <w:top w:val="none" w:sz="0" w:space="0" w:color="auto"/>
            <w:left w:val="none" w:sz="0" w:space="0" w:color="auto"/>
            <w:bottom w:val="none" w:sz="0" w:space="0" w:color="auto"/>
            <w:right w:val="none" w:sz="0" w:space="0" w:color="auto"/>
          </w:divBdr>
        </w:div>
        <w:div w:id="603004819">
          <w:marLeft w:val="0"/>
          <w:marRight w:val="0"/>
          <w:marTop w:val="0"/>
          <w:marBottom w:val="0"/>
          <w:divBdr>
            <w:top w:val="none" w:sz="0" w:space="0" w:color="auto"/>
            <w:left w:val="none" w:sz="0" w:space="0" w:color="auto"/>
            <w:bottom w:val="none" w:sz="0" w:space="0" w:color="auto"/>
            <w:right w:val="none" w:sz="0" w:space="0" w:color="auto"/>
          </w:divBdr>
        </w:div>
        <w:div w:id="670060065">
          <w:marLeft w:val="0"/>
          <w:marRight w:val="0"/>
          <w:marTop w:val="0"/>
          <w:marBottom w:val="0"/>
          <w:divBdr>
            <w:top w:val="none" w:sz="0" w:space="0" w:color="auto"/>
            <w:left w:val="none" w:sz="0" w:space="0" w:color="auto"/>
            <w:bottom w:val="none" w:sz="0" w:space="0" w:color="auto"/>
            <w:right w:val="none" w:sz="0" w:space="0" w:color="auto"/>
          </w:divBdr>
        </w:div>
        <w:div w:id="728040991">
          <w:marLeft w:val="0"/>
          <w:marRight w:val="0"/>
          <w:marTop w:val="0"/>
          <w:marBottom w:val="0"/>
          <w:divBdr>
            <w:top w:val="none" w:sz="0" w:space="0" w:color="auto"/>
            <w:left w:val="none" w:sz="0" w:space="0" w:color="auto"/>
            <w:bottom w:val="none" w:sz="0" w:space="0" w:color="auto"/>
            <w:right w:val="none" w:sz="0" w:space="0" w:color="auto"/>
          </w:divBdr>
        </w:div>
        <w:div w:id="774639560">
          <w:marLeft w:val="0"/>
          <w:marRight w:val="0"/>
          <w:marTop w:val="0"/>
          <w:marBottom w:val="0"/>
          <w:divBdr>
            <w:top w:val="none" w:sz="0" w:space="0" w:color="auto"/>
            <w:left w:val="none" w:sz="0" w:space="0" w:color="auto"/>
            <w:bottom w:val="none" w:sz="0" w:space="0" w:color="auto"/>
            <w:right w:val="none" w:sz="0" w:space="0" w:color="auto"/>
          </w:divBdr>
        </w:div>
        <w:div w:id="808133284">
          <w:marLeft w:val="0"/>
          <w:marRight w:val="0"/>
          <w:marTop w:val="0"/>
          <w:marBottom w:val="0"/>
          <w:divBdr>
            <w:top w:val="none" w:sz="0" w:space="0" w:color="auto"/>
            <w:left w:val="none" w:sz="0" w:space="0" w:color="auto"/>
            <w:bottom w:val="none" w:sz="0" w:space="0" w:color="auto"/>
            <w:right w:val="none" w:sz="0" w:space="0" w:color="auto"/>
          </w:divBdr>
        </w:div>
        <w:div w:id="853887869">
          <w:marLeft w:val="0"/>
          <w:marRight w:val="0"/>
          <w:marTop w:val="0"/>
          <w:marBottom w:val="0"/>
          <w:divBdr>
            <w:top w:val="none" w:sz="0" w:space="0" w:color="auto"/>
            <w:left w:val="none" w:sz="0" w:space="0" w:color="auto"/>
            <w:bottom w:val="none" w:sz="0" w:space="0" w:color="auto"/>
            <w:right w:val="none" w:sz="0" w:space="0" w:color="auto"/>
          </w:divBdr>
        </w:div>
        <w:div w:id="873078911">
          <w:marLeft w:val="0"/>
          <w:marRight w:val="0"/>
          <w:marTop w:val="0"/>
          <w:marBottom w:val="0"/>
          <w:divBdr>
            <w:top w:val="none" w:sz="0" w:space="0" w:color="auto"/>
            <w:left w:val="none" w:sz="0" w:space="0" w:color="auto"/>
            <w:bottom w:val="none" w:sz="0" w:space="0" w:color="auto"/>
            <w:right w:val="none" w:sz="0" w:space="0" w:color="auto"/>
          </w:divBdr>
        </w:div>
        <w:div w:id="983892352">
          <w:marLeft w:val="0"/>
          <w:marRight w:val="0"/>
          <w:marTop w:val="0"/>
          <w:marBottom w:val="0"/>
          <w:divBdr>
            <w:top w:val="none" w:sz="0" w:space="0" w:color="auto"/>
            <w:left w:val="none" w:sz="0" w:space="0" w:color="auto"/>
            <w:bottom w:val="none" w:sz="0" w:space="0" w:color="auto"/>
            <w:right w:val="none" w:sz="0" w:space="0" w:color="auto"/>
          </w:divBdr>
        </w:div>
        <w:div w:id="985161153">
          <w:marLeft w:val="0"/>
          <w:marRight w:val="0"/>
          <w:marTop w:val="0"/>
          <w:marBottom w:val="0"/>
          <w:divBdr>
            <w:top w:val="none" w:sz="0" w:space="0" w:color="auto"/>
            <w:left w:val="none" w:sz="0" w:space="0" w:color="auto"/>
            <w:bottom w:val="none" w:sz="0" w:space="0" w:color="auto"/>
            <w:right w:val="none" w:sz="0" w:space="0" w:color="auto"/>
          </w:divBdr>
        </w:div>
        <w:div w:id="1017005466">
          <w:marLeft w:val="0"/>
          <w:marRight w:val="0"/>
          <w:marTop w:val="0"/>
          <w:marBottom w:val="0"/>
          <w:divBdr>
            <w:top w:val="none" w:sz="0" w:space="0" w:color="auto"/>
            <w:left w:val="none" w:sz="0" w:space="0" w:color="auto"/>
            <w:bottom w:val="none" w:sz="0" w:space="0" w:color="auto"/>
            <w:right w:val="none" w:sz="0" w:space="0" w:color="auto"/>
          </w:divBdr>
        </w:div>
        <w:div w:id="1097605082">
          <w:marLeft w:val="0"/>
          <w:marRight w:val="0"/>
          <w:marTop w:val="0"/>
          <w:marBottom w:val="0"/>
          <w:divBdr>
            <w:top w:val="none" w:sz="0" w:space="0" w:color="auto"/>
            <w:left w:val="none" w:sz="0" w:space="0" w:color="auto"/>
            <w:bottom w:val="none" w:sz="0" w:space="0" w:color="auto"/>
            <w:right w:val="none" w:sz="0" w:space="0" w:color="auto"/>
          </w:divBdr>
        </w:div>
        <w:div w:id="1141531744">
          <w:marLeft w:val="0"/>
          <w:marRight w:val="0"/>
          <w:marTop w:val="0"/>
          <w:marBottom w:val="0"/>
          <w:divBdr>
            <w:top w:val="none" w:sz="0" w:space="0" w:color="auto"/>
            <w:left w:val="none" w:sz="0" w:space="0" w:color="auto"/>
            <w:bottom w:val="none" w:sz="0" w:space="0" w:color="auto"/>
            <w:right w:val="none" w:sz="0" w:space="0" w:color="auto"/>
          </w:divBdr>
        </w:div>
        <w:div w:id="1241714722">
          <w:marLeft w:val="0"/>
          <w:marRight w:val="0"/>
          <w:marTop w:val="0"/>
          <w:marBottom w:val="0"/>
          <w:divBdr>
            <w:top w:val="none" w:sz="0" w:space="0" w:color="auto"/>
            <w:left w:val="none" w:sz="0" w:space="0" w:color="auto"/>
            <w:bottom w:val="none" w:sz="0" w:space="0" w:color="auto"/>
            <w:right w:val="none" w:sz="0" w:space="0" w:color="auto"/>
          </w:divBdr>
        </w:div>
        <w:div w:id="1249849281">
          <w:marLeft w:val="0"/>
          <w:marRight w:val="0"/>
          <w:marTop w:val="0"/>
          <w:marBottom w:val="0"/>
          <w:divBdr>
            <w:top w:val="none" w:sz="0" w:space="0" w:color="auto"/>
            <w:left w:val="none" w:sz="0" w:space="0" w:color="auto"/>
            <w:bottom w:val="none" w:sz="0" w:space="0" w:color="auto"/>
            <w:right w:val="none" w:sz="0" w:space="0" w:color="auto"/>
          </w:divBdr>
        </w:div>
        <w:div w:id="1264074118">
          <w:marLeft w:val="0"/>
          <w:marRight w:val="0"/>
          <w:marTop w:val="0"/>
          <w:marBottom w:val="0"/>
          <w:divBdr>
            <w:top w:val="none" w:sz="0" w:space="0" w:color="auto"/>
            <w:left w:val="none" w:sz="0" w:space="0" w:color="auto"/>
            <w:bottom w:val="none" w:sz="0" w:space="0" w:color="auto"/>
            <w:right w:val="none" w:sz="0" w:space="0" w:color="auto"/>
          </w:divBdr>
        </w:div>
        <w:div w:id="1270700742">
          <w:marLeft w:val="0"/>
          <w:marRight w:val="0"/>
          <w:marTop w:val="0"/>
          <w:marBottom w:val="0"/>
          <w:divBdr>
            <w:top w:val="none" w:sz="0" w:space="0" w:color="auto"/>
            <w:left w:val="none" w:sz="0" w:space="0" w:color="auto"/>
            <w:bottom w:val="none" w:sz="0" w:space="0" w:color="auto"/>
            <w:right w:val="none" w:sz="0" w:space="0" w:color="auto"/>
          </w:divBdr>
        </w:div>
        <w:div w:id="1329364735">
          <w:marLeft w:val="0"/>
          <w:marRight w:val="0"/>
          <w:marTop w:val="0"/>
          <w:marBottom w:val="0"/>
          <w:divBdr>
            <w:top w:val="none" w:sz="0" w:space="0" w:color="auto"/>
            <w:left w:val="none" w:sz="0" w:space="0" w:color="auto"/>
            <w:bottom w:val="none" w:sz="0" w:space="0" w:color="auto"/>
            <w:right w:val="none" w:sz="0" w:space="0" w:color="auto"/>
          </w:divBdr>
        </w:div>
        <w:div w:id="1404835569">
          <w:marLeft w:val="0"/>
          <w:marRight w:val="0"/>
          <w:marTop w:val="0"/>
          <w:marBottom w:val="0"/>
          <w:divBdr>
            <w:top w:val="none" w:sz="0" w:space="0" w:color="auto"/>
            <w:left w:val="none" w:sz="0" w:space="0" w:color="auto"/>
            <w:bottom w:val="none" w:sz="0" w:space="0" w:color="auto"/>
            <w:right w:val="none" w:sz="0" w:space="0" w:color="auto"/>
          </w:divBdr>
        </w:div>
        <w:div w:id="1506088175">
          <w:marLeft w:val="0"/>
          <w:marRight w:val="0"/>
          <w:marTop w:val="0"/>
          <w:marBottom w:val="0"/>
          <w:divBdr>
            <w:top w:val="none" w:sz="0" w:space="0" w:color="auto"/>
            <w:left w:val="none" w:sz="0" w:space="0" w:color="auto"/>
            <w:bottom w:val="none" w:sz="0" w:space="0" w:color="auto"/>
            <w:right w:val="none" w:sz="0" w:space="0" w:color="auto"/>
          </w:divBdr>
        </w:div>
        <w:div w:id="1564677566">
          <w:marLeft w:val="0"/>
          <w:marRight w:val="0"/>
          <w:marTop w:val="0"/>
          <w:marBottom w:val="0"/>
          <w:divBdr>
            <w:top w:val="none" w:sz="0" w:space="0" w:color="auto"/>
            <w:left w:val="none" w:sz="0" w:space="0" w:color="auto"/>
            <w:bottom w:val="none" w:sz="0" w:space="0" w:color="auto"/>
            <w:right w:val="none" w:sz="0" w:space="0" w:color="auto"/>
          </w:divBdr>
        </w:div>
        <w:div w:id="1565796062">
          <w:marLeft w:val="0"/>
          <w:marRight w:val="0"/>
          <w:marTop w:val="0"/>
          <w:marBottom w:val="0"/>
          <w:divBdr>
            <w:top w:val="none" w:sz="0" w:space="0" w:color="auto"/>
            <w:left w:val="none" w:sz="0" w:space="0" w:color="auto"/>
            <w:bottom w:val="none" w:sz="0" w:space="0" w:color="auto"/>
            <w:right w:val="none" w:sz="0" w:space="0" w:color="auto"/>
          </w:divBdr>
        </w:div>
        <w:div w:id="1586456424">
          <w:marLeft w:val="0"/>
          <w:marRight w:val="0"/>
          <w:marTop w:val="0"/>
          <w:marBottom w:val="0"/>
          <w:divBdr>
            <w:top w:val="none" w:sz="0" w:space="0" w:color="auto"/>
            <w:left w:val="none" w:sz="0" w:space="0" w:color="auto"/>
            <w:bottom w:val="none" w:sz="0" w:space="0" w:color="auto"/>
            <w:right w:val="none" w:sz="0" w:space="0" w:color="auto"/>
          </w:divBdr>
        </w:div>
        <w:div w:id="1654139264">
          <w:marLeft w:val="0"/>
          <w:marRight w:val="0"/>
          <w:marTop w:val="0"/>
          <w:marBottom w:val="0"/>
          <w:divBdr>
            <w:top w:val="none" w:sz="0" w:space="0" w:color="auto"/>
            <w:left w:val="none" w:sz="0" w:space="0" w:color="auto"/>
            <w:bottom w:val="none" w:sz="0" w:space="0" w:color="auto"/>
            <w:right w:val="none" w:sz="0" w:space="0" w:color="auto"/>
          </w:divBdr>
        </w:div>
        <w:div w:id="1715306270">
          <w:marLeft w:val="0"/>
          <w:marRight w:val="0"/>
          <w:marTop w:val="0"/>
          <w:marBottom w:val="0"/>
          <w:divBdr>
            <w:top w:val="none" w:sz="0" w:space="0" w:color="auto"/>
            <w:left w:val="none" w:sz="0" w:space="0" w:color="auto"/>
            <w:bottom w:val="none" w:sz="0" w:space="0" w:color="auto"/>
            <w:right w:val="none" w:sz="0" w:space="0" w:color="auto"/>
          </w:divBdr>
        </w:div>
        <w:div w:id="1793203148">
          <w:marLeft w:val="0"/>
          <w:marRight w:val="0"/>
          <w:marTop w:val="0"/>
          <w:marBottom w:val="0"/>
          <w:divBdr>
            <w:top w:val="none" w:sz="0" w:space="0" w:color="auto"/>
            <w:left w:val="none" w:sz="0" w:space="0" w:color="auto"/>
            <w:bottom w:val="none" w:sz="0" w:space="0" w:color="auto"/>
            <w:right w:val="none" w:sz="0" w:space="0" w:color="auto"/>
          </w:divBdr>
        </w:div>
        <w:div w:id="1823690343">
          <w:marLeft w:val="0"/>
          <w:marRight w:val="0"/>
          <w:marTop w:val="0"/>
          <w:marBottom w:val="0"/>
          <w:divBdr>
            <w:top w:val="none" w:sz="0" w:space="0" w:color="auto"/>
            <w:left w:val="none" w:sz="0" w:space="0" w:color="auto"/>
            <w:bottom w:val="none" w:sz="0" w:space="0" w:color="auto"/>
            <w:right w:val="none" w:sz="0" w:space="0" w:color="auto"/>
          </w:divBdr>
        </w:div>
        <w:div w:id="1871143652">
          <w:marLeft w:val="0"/>
          <w:marRight w:val="0"/>
          <w:marTop w:val="0"/>
          <w:marBottom w:val="0"/>
          <w:divBdr>
            <w:top w:val="none" w:sz="0" w:space="0" w:color="auto"/>
            <w:left w:val="none" w:sz="0" w:space="0" w:color="auto"/>
            <w:bottom w:val="none" w:sz="0" w:space="0" w:color="auto"/>
            <w:right w:val="none" w:sz="0" w:space="0" w:color="auto"/>
          </w:divBdr>
        </w:div>
        <w:div w:id="1877427713">
          <w:marLeft w:val="0"/>
          <w:marRight w:val="0"/>
          <w:marTop w:val="0"/>
          <w:marBottom w:val="0"/>
          <w:divBdr>
            <w:top w:val="none" w:sz="0" w:space="0" w:color="auto"/>
            <w:left w:val="none" w:sz="0" w:space="0" w:color="auto"/>
            <w:bottom w:val="none" w:sz="0" w:space="0" w:color="auto"/>
            <w:right w:val="none" w:sz="0" w:space="0" w:color="auto"/>
          </w:divBdr>
        </w:div>
        <w:div w:id="1880698518">
          <w:marLeft w:val="0"/>
          <w:marRight w:val="0"/>
          <w:marTop w:val="0"/>
          <w:marBottom w:val="0"/>
          <w:divBdr>
            <w:top w:val="none" w:sz="0" w:space="0" w:color="auto"/>
            <w:left w:val="none" w:sz="0" w:space="0" w:color="auto"/>
            <w:bottom w:val="none" w:sz="0" w:space="0" w:color="auto"/>
            <w:right w:val="none" w:sz="0" w:space="0" w:color="auto"/>
          </w:divBdr>
        </w:div>
        <w:div w:id="1924366265">
          <w:marLeft w:val="0"/>
          <w:marRight w:val="0"/>
          <w:marTop w:val="0"/>
          <w:marBottom w:val="0"/>
          <w:divBdr>
            <w:top w:val="none" w:sz="0" w:space="0" w:color="auto"/>
            <w:left w:val="none" w:sz="0" w:space="0" w:color="auto"/>
            <w:bottom w:val="none" w:sz="0" w:space="0" w:color="auto"/>
            <w:right w:val="none" w:sz="0" w:space="0" w:color="auto"/>
          </w:divBdr>
        </w:div>
        <w:div w:id="2008551104">
          <w:marLeft w:val="0"/>
          <w:marRight w:val="0"/>
          <w:marTop w:val="0"/>
          <w:marBottom w:val="0"/>
          <w:divBdr>
            <w:top w:val="none" w:sz="0" w:space="0" w:color="auto"/>
            <w:left w:val="none" w:sz="0" w:space="0" w:color="auto"/>
            <w:bottom w:val="none" w:sz="0" w:space="0" w:color="auto"/>
            <w:right w:val="none" w:sz="0" w:space="0" w:color="auto"/>
          </w:divBdr>
        </w:div>
        <w:div w:id="2034921604">
          <w:marLeft w:val="0"/>
          <w:marRight w:val="0"/>
          <w:marTop w:val="0"/>
          <w:marBottom w:val="0"/>
          <w:divBdr>
            <w:top w:val="none" w:sz="0" w:space="0" w:color="auto"/>
            <w:left w:val="none" w:sz="0" w:space="0" w:color="auto"/>
            <w:bottom w:val="none" w:sz="0" w:space="0" w:color="auto"/>
            <w:right w:val="none" w:sz="0" w:space="0" w:color="auto"/>
          </w:divBdr>
        </w:div>
        <w:div w:id="2036689082">
          <w:marLeft w:val="0"/>
          <w:marRight w:val="0"/>
          <w:marTop w:val="0"/>
          <w:marBottom w:val="0"/>
          <w:divBdr>
            <w:top w:val="none" w:sz="0" w:space="0" w:color="auto"/>
            <w:left w:val="none" w:sz="0" w:space="0" w:color="auto"/>
            <w:bottom w:val="none" w:sz="0" w:space="0" w:color="auto"/>
            <w:right w:val="none" w:sz="0" w:space="0" w:color="auto"/>
          </w:divBdr>
        </w:div>
      </w:divsChild>
    </w:div>
    <w:div w:id="1599678445">
      <w:bodyDiv w:val="1"/>
      <w:marLeft w:val="0"/>
      <w:marRight w:val="0"/>
      <w:marTop w:val="0"/>
      <w:marBottom w:val="0"/>
      <w:divBdr>
        <w:top w:val="none" w:sz="0" w:space="0" w:color="auto"/>
        <w:left w:val="none" w:sz="0" w:space="0" w:color="auto"/>
        <w:bottom w:val="none" w:sz="0" w:space="0" w:color="auto"/>
        <w:right w:val="none" w:sz="0" w:space="0" w:color="auto"/>
      </w:divBdr>
    </w:div>
    <w:div w:id="1612282556">
      <w:bodyDiv w:val="1"/>
      <w:marLeft w:val="0"/>
      <w:marRight w:val="0"/>
      <w:marTop w:val="0"/>
      <w:marBottom w:val="0"/>
      <w:divBdr>
        <w:top w:val="none" w:sz="0" w:space="0" w:color="auto"/>
        <w:left w:val="none" w:sz="0" w:space="0" w:color="auto"/>
        <w:bottom w:val="none" w:sz="0" w:space="0" w:color="auto"/>
        <w:right w:val="none" w:sz="0" w:space="0" w:color="auto"/>
      </w:divBdr>
      <w:divsChild>
        <w:div w:id="18625605">
          <w:marLeft w:val="0"/>
          <w:marRight w:val="0"/>
          <w:marTop w:val="0"/>
          <w:marBottom w:val="0"/>
          <w:divBdr>
            <w:top w:val="none" w:sz="0" w:space="0" w:color="auto"/>
            <w:left w:val="none" w:sz="0" w:space="0" w:color="auto"/>
            <w:bottom w:val="none" w:sz="0" w:space="0" w:color="auto"/>
            <w:right w:val="none" w:sz="0" w:space="0" w:color="auto"/>
          </w:divBdr>
        </w:div>
        <w:div w:id="409621532">
          <w:marLeft w:val="0"/>
          <w:marRight w:val="0"/>
          <w:marTop w:val="0"/>
          <w:marBottom w:val="0"/>
          <w:divBdr>
            <w:top w:val="none" w:sz="0" w:space="0" w:color="auto"/>
            <w:left w:val="none" w:sz="0" w:space="0" w:color="auto"/>
            <w:bottom w:val="none" w:sz="0" w:space="0" w:color="auto"/>
            <w:right w:val="none" w:sz="0" w:space="0" w:color="auto"/>
          </w:divBdr>
        </w:div>
        <w:div w:id="500123958">
          <w:marLeft w:val="0"/>
          <w:marRight w:val="0"/>
          <w:marTop w:val="0"/>
          <w:marBottom w:val="0"/>
          <w:divBdr>
            <w:top w:val="none" w:sz="0" w:space="0" w:color="auto"/>
            <w:left w:val="none" w:sz="0" w:space="0" w:color="auto"/>
            <w:bottom w:val="none" w:sz="0" w:space="0" w:color="auto"/>
            <w:right w:val="none" w:sz="0" w:space="0" w:color="auto"/>
          </w:divBdr>
        </w:div>
        <w:div w:id="1035033974">
          <w:marLeft w:val="0"/>
          <w:marRight w:val="0"/>
          <w:marTop w:val="0"/>
          <w:marBottom w:val="0"/>
          <w:divBdr>
            <w:top w:val="none" w:sz="0" w:space="0" w:color="auto"/>
            <w:left w:val="none" w:sz="0" w:space="0" w:color="auto"/>
            <w:bottom w:val="none" w:sz="0" w:space="0" w:color="auto"/>
            <w:right w:val="none" w:sz="0" w:space="0" w:color="auto"/>
          </w:divBdr>
        </w:div>
        <w:div w:id="1485512920">
          <w:marLeft w:val="0"/>
          <w:marRight w:val="0"/>
          <w:marTop w:val="0"/>
          <w:marBottom w:val="0"/>
          <w:divBdr>
            <w:top w:val="none" w:sz="0" w:space="0" w:color="auto"/>
            <w:left w:val="none" w:sz="0" w:space="0" w:color="auto"/>
            <w:bottom w:val="none" w:sz="0" w:space="0" w:color="auto"/>
            <w:right w:val="none" w:sz="0" w:space="0" w:color="auto"/>
          </w:divBdr>
        </w:div>
      </w:divsChild>
    </w:div>
    <w:div w:id="1613902027">
      <w:bodyDiv w:val="1"/>
      <w:marLeft w:val="0"/>
      <w:marRight w:val="0"/>
      <w:marTop w:val="0"/>
      <w:marBottom w:val="0"/>
      <w:divBdr>
        <w:top w:val="none" w:sz="0" w:space="0" w:color="auto"/>
        <w:left w:val="none" w:sz="0" w:space="0" w:color="auto"/>
        <w:bottom w:val="none" w:sz="0" w:space="0" w:color="auto"/>
        <w:right w:val="none" w:sz="0" w:space="0" w:color="auto"/>
      </w:divBdr>
      <w:divsChild>
        <w:div w:id="1413434145">
          <w:marLeft w:val="0"/>
          <w:marRight w:val="0"/>
          <w:marTop w:val="0"/>
          <w:marBottom w:val="0"/>
          <w:divBdr>
            <w:top w:val="none" w:sz="0" w:space="0" w:color="auto"/>
            <w:left w:val="none" w:sz="0" w:space="0" w:color="auto"/>
            <w:bottom w:val="none" w:sz="0" w:space="0" w:color="auto"/>
            <w:right w:val="none" w:sz="0" w:space="0" w:color="auto"/>
          </w:divBdr>
        </w:div>
      </w:divsChild>
    </w:div>
    <w:div w:id="1644037720">
      <w:bodyDiv w:val="1"/>
      <w:marLeft w:val="0"/>
      <w:marRight w:val="0"/>
      <w:marTop w:val="0"/>
      <w:marBottom w:val="0"/>
      <w:divBdr>
        <w:top w:val="none" w:sz="0" w:space="0" w:color="auto"/>
        <w:left w:val="none" w:sz="0" w:space="0" w:color="auto"/>
        <w:bottom w:val="none" w:sz="0" w:space="0" w:color="auto"/>
        <w:right w:val="none" w:sz="0" w:space="0" w:color="auto"/>
      </w:divBdr>
      <w:divsChild>
        <w:div w:id="938831605">
          <w:marLeft w:val="0"/>
          <w:marRight w:val="0"/>
          <w:marTop w:val="0"/>
          <w:marBottom w:val="0"/>
          <w:divBdr>
            <w:top w:val="none" w:sz="0" w:space="0" w:color="auto"/>
            <w:left w:val="none" w:sz="0" w:space="0" w:color="auto"/>
            <w:bottom w:val="none" w:sz="0" w:space="0" w:color="auto"/>
            <w:right w:val="none" w:sz="0" w:space="0" w:color="auto"/>
          </w:divBdr>
        </w:div>
        <w:div w:id="1420130467">
          <w:marLeft w:val="0"/>
          <w:marRight w:val="0"/>
          <w:marTop w:val="0"/>
          <w:marBottom w:val="0"/>
          <w:divBdr>
            <w:top w:val="none" w:sz="0" w:space="0" w:color="auto"/>
            <w:left w:val="none" w:sz="0" w:space="0" w:color="auto"/>
            <w:bottom w:val="none" w:sz="0" w:space="0" w:color="auto"/>
            <w:right w:val="none" w:sz="0" w:space="0" w:color="auto"/>
          </w:divBdr>
        </w:div>
        <w:div w:id="1434859179">
          <w:marLeft w:val="0"/>
          <w:marRight w:val="0"/>
          <w:marTop w:val="0"/>
          <w:marBottom w:val="0"/>
          <w:divBdr>
            <w:top w:val="none" w:sz="0" w:space="0" w:color="auto"/>
            <w:left w:val="none" w:sz="0" w:space="0" w:color="auto"/>
            <w:bottom w:val="none" w:sz="0" w:space="0" w:color="auto"/>
            <w:right w:val="none" w:sz="0" w:space="0" w:color="auto"/>
          </w:divBdr>
        </w:div>
      </w:divsChild>
    </w:div>
    <w:div w:id="1651908907">
      <w:bodyDiv w:val="1"/>
      <w:marLeft w:val="0"/>
      <w:marRight w:val="0"/>
      <w:marTop w:val="0"/>
      <w:marBottom w:val="0"/>
      <w:divBdr>
        <w:top w:val="none" w:sz="0" w:space="0" w:color="auto"/>
        <w:left w:val="none" w:sz="0" w:space="0" w:color="auto"/>
        <w:bottom w:val="none" w:sz="0" w:space="0" w:color="auto"/>
        <w:right w:val="none" w:sz="0" w:space="0" w:color="auto"/>
      </w:divBdr>
    </w:div>
    <w:div w:id="1653440141">
      <w:bodyDiv w:val="1"/>
      <w:marLeft w:val="0"/>
      <w:marRight w:val="0"/>
      <w:marTop w:val="0"/>
      <w:marBottom w:val="0"/>
      <w:divBdr>
        <w:top w:val="none" w:sz="0" w:space="0" w:color="auto"/>
        <w:left w:val="none" w:sz="0" w:space="0" w:color="auto"/>
        <w:bottom w:val="none" w:sz="0" w:space="0" w:color="auto"/>
        <w:right w:val="none" w:sz="0" w:space="0" w:color="auto"/>
      </w:divBdr>
      <w:divsChild>
        <w:div w:id="51084176">
          <w:marLeft w:val="446"/>
          <w:marRight w:val="0"/>
          <w:marTop w:val="0"/>
          <w:marBottom w:val="0"/>
          <w:divBdr>
            <w:top w:val="none" w:sz="0" w:space="0" w:color="auto"/>
            <w:left w:val="none" w:sz="0" w:space="0" w:color="auto"/>
            <w:bottom w:val="none" w:sz="0" w:space="0" w:color="auto"/>
            <w:right w:val="none" w:sz="0" w:space="0" w:color="auto"/>
          </w:divBdr>
        </w:div>
        <w:div w:id="138041833">
          <w:marLeft w:val="446"/>
          <w:marRight w:val="0"/>
          <w:marTop w:val="0"/>
          <w:marBottom w:val="0"/>
          <w:divBdr>
            <w:top w:val="none" w:sz="0" w:space="0" w:color="auto"/>
            <w:left w:val="none" w:sz="0" w:space="0" w:color="auto"/>
            <w:bottom w:val="none" w:sz="0" w:space="0" w:color="auto"/>
            <w:right w:val="none" w:sz="0" w:space="0" w:color="auto"/>
          </w:divBdr>
        </w:div>
        <w:div w:id="891890377">
          <w:marLeft w:val="446"/>
          <w:marRight w:val="0"/>
          <w:marTop w:val="0"/>
          <w:marBottom w:val="0"/>
          <w:divBdr>
            <w:top w:val="none" w:sz="0" w:space="0" w:color="auto"/>
            <w:left w:val="none" w:sz="0" w:space="0" w:color="auto"/>
            <w:bottom w:val="none" w:sz="0" w:space="0" w:color="auto"/>
            <w:right w:val="none" w:sz="0" w:space="0" w:color="auto"/>
          </w:divBdr>
        </w:div>
        <w:div w:id="2064788791">
          <w:marLeft w:val="446"/>
          <w:marRight w:val="0"/>
          <w:marTop w:val="0"/>
          <w:marBottom w:val="0"/>
          <w:divBdr>
            <w:top w:val="none" w:sz="0" w:space="0" w:color="auto"/>
            <w:left w:val="none" w:sz="0" w:space="0" w:color="auto"/>
            <w:bottom w:val="none" w:sz="0" w:space="0" w:color="auto"/>
            <w:right w:val="none" w:sz="0" w:space="0" w:color="auto"/>
          </w:divBdr>
        </w:div>
        <w:div w:id="2132941202">
          <w:marLeft w:val="446"/>
          <w:marRight w:val="0"/>
          <w:marTop w:val="0"/>
          <w:marBottom w:val="0"/>
          <w:divBdr>
            <w:top w:val="none" w:sz="0" w:space="0" w:color="auto"/>
            <w:left w:val="none" w:sz="0" w:space="0" w:color="auto"/>
            <w:bottom w:val="none" w:sz="0" w:space="0" w:color="auto"/>
            <w:right w:val="none" w:sz="0" w:space="0" w:color="auto"/>
          </w:divBdr>
        </w:div>
      </w:divsChild>
    </w:div>
    <w:div w:id="1662343576">
      <w:bodyDiv w:val="1"/>
      <w:marLeft w:val="0"/>
      <w:marRight w:val="0"/>
      <w:marTop w:val="0"/>
      <w:marBottom w:val="0"/>
      <w:divBdr>
        <w:top w:val="none" w:sz="0" w:space="0" w:color="auto"/>
        <w:left w:val="none" w:sz="0" w:space="0" w:color="auto"/>
        <w:bottom w:val="none" w:sz="0" w:space="0" w:color="auto"/>
        <w:right w:val="none" w:sz="0" w:space="0" w:color="auto"/>
      </w:divBdr>
    </w:div>
    <w:div w:id="1667124613">
      <w:bodyDiv w:val="1"/>
      <w:marLeft w:val="0"/>
      <w:marRight w:val="0"/>
      <w:marTop w:val="0"/>
      <w:marBottom w:val="0"/>
      <w:divBdr>
        <w:top w:val="none" w:sz="0" w:space="0" w:color="auto"/>
        <w:left w:val="none" w:sz="0" w:space="0" w:color="auto"/>
        <w:bottom w:val="none" w:sz="0" w:space="0" w:color="auto"/>
        <w:right w:val="none" w:sz="0" w:space="0" w:color="auto"/>
      </w:divBdr>
      <w:divsChild>
        <w:div w:id="1332638544">
          <w:marLeft w:val="0"/>
          <w:marRight w:val="0"/>
          <w:marTop w:val="0"/>
          <w:marBottom w:val="0"/>
          <w:divBdr>
            <w:top w:val="none" w:sz="0" w:space="0" w:color="auto"/>
            <w:left w:val="none" w:sz="0" w:space="0" w:color="auto"/>
            <w:bottom w:val="none" w:sz="0" w:space="0" w:color="auto"/>
            <w:right w:val="none" w:sz="0" w:space="0" w:color="auto"/>
          </w:divBdr>
          <w:divsChild>
            <w:div w:id="187380925">
              <w:marLeft w:val="0"/>
              <w:marRight w:val="0"/>
              <w:marTop w:val="0"/>
              <w:marBottom w:val="0"/>
              <w:divBdr>
                <w:top w:val="none" w:sz="0" w:space="0" w:color="auto"/>
                <w:left w:val="none" w:sz="0" w:space="0" w:color="auto"/>
                <w:bottom w:val="none" w:sz="0" w:space="0" w:color="auto"/>
                <w:right w:val="none" w:sz="0" w:space="0" w:color="auto"/>
              </w:divBdr>
              <w:divsChild>
                <w:div w:id="375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315970">
      <w:bodyDiv w:val="1"/>
      <w:marLeft w:val="0"/>
      <w:marRight w:val="0"/>
      <w:marTop w:val="0"/>
      <w:marBottom w:val="0"/>
      <w:divBdr>
        <w:top w:val="none" w:sz="0" w:space="0" w:color="auto"/>
        <w:left w:val="none" w:sz="0" w:space="0" w:color="auto"/>
        <w:bottom w:val="none" w:sz="0" w:space="0" w:color="auto"/>
        <w:right w:val="none" w:sz="0" w:space="0" w:color="auto"/>
      </w:divBdr>
      <w:divsChild>
        <w:div w:id="8652389">
          <w:marLeft w:val="0"/>
          <w:marRight w:val="0"/>
          <w:marTop w:val="0"/>
          <w:marBottom w:val="0"/>
          <w:divBdr>
            <w:top w:val="none" w:sz="0" w:space="0" w:color="auto"/>
            <w:left w:val="none" w:sz="0" w:space="0" w:color="auto"/>
            <w:bottom w:val="none" w:sz="0" w:space="0" w:color="auto"/>
            <w:right w:val="none" w:sz="0" w:space="0" w:color="auto"/>
          </w:divBdr>
        </w:div>
        <w:div w:id="28454002">
          <w:marLeft w:val="0"/>
          <w:marRight w:val="0"/>
          <w:marTop w:val="0"/>
          <w:marBottom w:val="0"/>
          <w:divBdr>
            <w:top w:val="none" w:sz="0" w:space="0" w:color="auto"/>
            <w:left w:val="none" w:sz="0" w:space="0" w:color="auto"/>
            <w:bottom w:val="none" w:sz="0" w:space="0" w:color="auto"/>
            <w:right w:val="none" w:sz="0" w:space="0" w:color="auto"/>
          </w:divBdr>
        </w:div>
        <w:div w:id="39404754">
          <w:marLeft w:val="0"/>
          <w:marRight w:val="0"/>
          <w:marTop w:val="0"/>
          <w:marBottom w:val="0"/>
          <w:divBdr>
            <w:top w:val="none" w:sz="0" w:space="0" w:color="auto"/>
            <w:left w:val="none" w:sz="0" w:space="0" w:color="auto"/>
            <w:bottom w:val="none" w:sz="0" w:space="0" w:color="auto"/>
            <w:right w:val="none" w:sz="0" w:space="0" w:color="auto"/>
          </w:divBdr>
        </w:div>
        <w:div w:id="39944079">
          <w:marLeft w:val="0"/>
          <w:marRight w:val="0"/>
          <w:marTop w:val="0"/>
          <w:marBottom w:val="0"/>
          <w:divBdr>
            <w:top w:val="none" w:sz="0" w:space="0" w:color="auto"/>
            <w:left w:val="none" w:sz="0" w:space="0" w:color="auto"/>
            <w:bottom w:val="none" w:sz="0" w:space="0" w:color="auto"/>
            <w:right w:val="none" w:sz="0" w:space="0" w:color="auto"/>
          </w:divBdr>
        </w:div>
        <w:div w:id="65500867">
          <w:marLeft w:val="0"/>
          <w:marRight w:val="0"/>
          <w:marTop w:val="0"/>
          <w:marBottom w:val="0"/>
          <w:divBdr>
            <w:top w:val="none" w:sz="0" w:space="0" w:color="auto"/>
            <w:left w:val="none" w:sz="0" w:space="0" w:color="auto"/>
            <w:bottom w:val="none" w:sz="0" w:space="0" w:color="auto"/>
            <w:right w:val="none" w:sz="0" w:space="0" w:color="auto"/>
          </w:divBdr>
        </w:div>
        <w:div w:id="141625873">
          <w:marLeft w:val="0"/>
          <w:marRight w:val="0"/>
          <w:marTop w:val="0"/>
          <w:marBottom w:val="0"/>
          <w:divBdr>
            <w:top w:val="none" w:sz="0" w:space="0" w:color="auto"/>
            <w:left w:val="none" w:sz="0" w:space="0" w:color="auto"/>
            <w:bottom w:val="none" w:sz="0" w:space="0" w:color="auto"/>
            <w:right w:val="none" w:sz="0" w:space="0" w:color="auto"/>
          </w:divBdr>
        </w:div>
        <w:div w:id="338970279">
          <w:marLeft w:val="0"/>
          <w:marRight w:val="0"/>
          <w:marTop w:val="0"/>
          <w:marBottom w:val="0"/>
          <w:divBdr>
            <w:top w:val="none" w:sz="0" w:space="0" w:color="auto"/>
            <w:left w:val="none" w:sz="0" w:space="0" w:color="auto"/>
            <w:bottom w:val="none" w:sz="0" w:space="0" w:color="auto"/>
            <w:right w:val="none" w:sz="0" w:space="0" w:color="auto"/>
          </w:divBdr>
        </w:div>
        <w:div w:id="374086339">
          <w:marLeft w:val="0"/>
          <w:marRight w:val="0"/>
          <w:marTop w:val="0"/>
          <w:marBottom w:val="0"/>
          <w:divBdr>
            <w:top w:val="none" w:sz="0" w:space="0" w:color="auto"/>
            <w:left w:val="none" w:sz="0" w:space="0" w:color="auto"/>
            <w:bottom w:val="none" w:sz="0" w:space="0" w:color="auto"/>
            <w:right w:val="none" w:sz="0" w:space="0" w:color="auto"/>
          </w:divBdr>
        </w:div>
        <w:div w:id="400446068">
          <w:marLeft w:val="0"/>
          <w:marRight w:val="0"/>
          <w:marTop w:val="0"/>
          <w:marBottom w:val="0"/>
          <w:divBdr>
            <w:top w:val="none" w:sz="0" w:space="0" w:color="auto"/>
            <w:left w:val="none" w:sz="0" w:space="0" w:color="auto"/>
            <w:bottom w:val="none" w:sz="0" w:space="0" w:color="auto"/>
            <w:right w:val="none" w:sz="0" w:space="0" w:color="auto"/>
          </w:divBdr>
        </w:div>
        <w:div w:id="441656482">
          <w:marLeft w:val="0"/>
          <w:marRight w:val="0"/>
          <w:marTop w:val="0"/>
          <w:marBottom w:val="0"/>
          <w:divBdr>
            <w:top w:val="none" w:sz="0" w:space="0" w:color="auto"/>
            <w:left w:val="none" w:sz="0" w:space="0" w:color="auto"/>
            <w:bottom w:val="none" w:sz="0" w:space="0" w:color="auto"/>
            <w:right w:val="none" w:sz="0" w:space="0" w:color="auto"/>
          </w:divBdr>
        </w:div>
        <w:div w:id="491264276">
          <w:marLeft w:val="0"/>
          <w:marRight w:val="0"/>
          <w:marTop w:val="0"/>
          <w:marBottom w:val="0"/>
          <w:divBdr>
            <w:top w:val="none" w:sz="0" w:space="0" w:color="auto"/>
            <w:left w:val="none" w:sz="0" w:space="0" w:color="auto"/>
            <w:bottom w:val="none" w:sz="0" w:space="0" w:color="auto"/>
            <w:right w:val="none" w:sz="0" w:space="0" w:color="auto"/>
          </w:divBdr>
        </w:div>
        <w:div w:id="524446547">
          <w:marLeft w:val="0"/>
          <w:marRight w:val="0"/>
          <w:marTop w:val="0"/>
          <w:marBottom w:val="0"/>
          <w:divBdr>
            <w:top w:val="none" w:sz="0" w:space="0" w:color="auto"/>
            <w:left w:val="none" w:sz="0" w:space="0" w:color="auto"/>
            <w:bottom w:val="none" w:sz="0" w:space="0" w:color="auto"/>
            <w:right w:val="none" w:sz="0" w:space="0" w:color="auto"/>
          </w:divBdr>
        </w:div>
        <w:div w:id="549993989">
          <w:marLeft w:val="0"/>
          <w:marRight w:val="0"/>
          <w:marTop w:val="0"/>
          <w:marBottom w:val="0"/>
          <w:divBdr>
            <w:top w:val="none" w:sz="0" w:space="0" w:color="auto"/>
            <w:left w:val="none" w:sz="0" w:space="0" w:color="auto"/>
            <w:bottom w:val="none" w:sz="0" w:space="0" w:color="auto"/>
            <w:right w:val="none" w:sz="0" w:space="0" w:color="auto"/>
          </w:divBdr>
        </w:div>
        <w:div w:id="722370530">
          <w:marLeft w:val="0"/>
          <w:marRight w:val="0"/>
          <w:marTop w:val="0"/>
          <w:marBottom w:val="0"/>
          <w:divBdr>
            <w:top w:val="none" w:sz="0" w:space="0" w:color="auto"/>
            <w:left w:val="none" w:sz="0" w:space="0" w:color="auto"/>
            <w:bottom w:val="none" w:sz="0" w:space="0" w:color="auto"/>
            <w:right w:val="none" w:sz="0" w:space="0" w:color="auto"/>
          </w:divBdr>
        </w:div>
        <w:div w:id="760948786">
          <w:marLeft w:val="0"/>
          <w:marRight w:val="0"/>
          <w:marTop w:val="0"/>
          <w:marBottom w:val="0"/>
          <w:divBdr>
            <w:top w:val="none" w:sz="0" w:space="0" w:color="auto"/>
            <w:left w:val="none" w:sz="0" w:space="0" w:color="auto"/>
            <w:bottom w:val="none" w:sz="0" w:space="0" w:color="auto"/>
            <w:right w:val="none" w:sz="0" w:space="0" w:color="auto"/>
          </w:divBdr>
        </w:div>
        <w:div w:id="838498361">
          <w:marLeft w:val="0"/>
          <w:marRight w:val="0"/>
          <w:marTop w:val="0"/>
          <w:marBottom w:val="0"/>
          <w:divBdr>
            <w:top w:val="none" w:sz="0" w:space="0" w:color="auto"/>
            <w:left w:val="none" w:sz="0" w:space="0" w:color="auto"/>
            <w:bottom w:val="none" w:sz="0" w:space="0" w:color="auto"/>
            <w:right w:val="none" w:sz="0" w:space="0" w:color="auto"/>
          </w:divBdr>
        </w:div>
        <w:div w:id="867452322">
          <w:marLeft w:val="0"/>
          <w:marRight w:val="0"/>
          <w:marTop w:val="0"/>
          <w:marBottom w:val="0"/>
          <w:divBdr>
            <w:top w:val="none" w:sz="0" w:space="0" w:color="auto"/>
            <w:left w:val="none" w:sz="0" w:space="0" w:color="auto"/>
            <w:bottom w:val="none" w:sz="0" w:space="0" w:color="auto"/>
            <w:right w:val="none" w:sz="0" w:space="0" w:color="auto"/>
          </w:divBdr>
        </w:div>
        <w:div w:id="928656028">
          <w:marLeft w:val="0"/>
          <w:marRight w:val="0"/>
          <w:marTop w:val="0"/>
          <w:marBottom w:val="0"/>
          <w:divBdr>
            <w:top w:val="none" w:sz="0" w:space="0" w:color="auto"/>
            <w:left w:val="none" w:sz="0" w:space="0" w:color="auto"/>
            <w:bottom w:val="none" w:sz="0" w:space="0" w:color="auto"/>
            <w:right w:val="none" w:sz="0" w:space="0" w:color="auto"/>
          </w:divBdr>
        </w:div>
        <w:div w:id="1009873408">
          <w:marLeft w:val="0"/>
          <w:marRight w:val="0"/>
          <w:marTop w:val="0"/>
          <w:marBottom w:val="0"/>
          <w:divBdr>
            <w:top w:val="none" w:sz="0" w:space="0" w:color="auto"/>
            <w:left w:val="none" w:sz="0" w:space="0" w:color="auto"/>
            <w:bottom w:val="none" w:sz="0" w:space="0" w:color="auto"/>
            <w:right w:val="none" w:sz="0" w:space="0" w:color="auto"/>
          </w:divBdr>
        </w:div>
        <w:div w:id="1072697902">
          <w:marLeft w:val="0"/>
          <w:marRight w:val="0"/>
          <w:marTop w:val="0"/>
          <w:marBottom w:val="0"/>
          <w:divBdr>
            <w:top w:val="none" w:sz="0" w:space="0" w:color="auto"/>
            <w:left w:val="none" w:sz="0" w:space="0" w:color="auto"/>
            <w:bottom w:val="none" w:sz="0" w:space="0" w:color="auto"/>
            <w:right w:val="none" w:sz="0" w:space="0" w:color="auto"/>
          </w:divBdr>
        </w:div>
        <w:div w:id="1078790619">
          <w:marLeft w:val="0"/>
          <w:marRight w:val="0"/>
          <w:marTop w:val="0"/>
          <w:marBottom w:val="0"/>
          <w:divBdr>
            <w:top w:val="none" w:sz="0" w:space="0" w:color="auto"/>
            <w:left w:val="none" w:sz="0" w:space="0" w:color="auto"/>
            <w:bottom w:val="none" w:sz="0" w:space="0" w:color="auto"/>
            <w:right w:val="none" w:sz="0" w:space="0" w:color="auto"/>
          </w:divBdr>
        </w:div>
        <w:div w:id="1222862167">
          <w:marLeft w:val="0"/>
          <w:marRight w:val="0"/>
          <w:marTop w:val="0"/>
          <w:marBottom w:val="0"/>
          <w:divBdr>
            <w:top w:val="none" w:sz="0" w:space="0" w:color="auto"/>
            <w:left w:val="none" w:sz="0" w:space="0" w:color="auto"/>
            <w:bottom w:val="none" w:sz="0" w:space="0" w:color="auto"/>
            <w:right w:val="none" w:sz="0" w:space="0" w:color="auto"/>
          </w:divBdr>
        </w:div>
        <w:div w:id="1231500285">
          <w:marLeft w:val="0"/>
          <w:marRight w:val="0"/>
          <w:marTop w:val="0"/>
          <w:marBottom w:val="0"/>
          <w:divBdr>
            <w:top w:val="none" w:sz="0" w:space="0" w:color="auto"/>
            <w:left w:val="none" w:sz="0" w:space="0" w:color="auto"/>
            <w:bottom w:val="none" w:sz="0" w:space="0" w:color="auto"/>
            <w:right w:val="none" w:sz="0" w:space="0" w:color="auto"/>
          </w:divBdr>
        </w:div>
        <w:div w:id="1238786163">
          <w:marLeft w:val="0"/>
          <w:marRight w:val="0"/>
          <w:marTop w:val="0"/>
          <w:marBottom w:val="0"/>
          <w:divBdr>
            <w:top w:val="none" w:sz="0" w:space="0" w:color="auto"/>
            <w:left w:val="none" w:sz="0" w:space="0" w:color="auto"/>
            <w:bottom w:val="none" w:sz="0" w:space="0" w:color="auto"/>
            <w:right w:val="none" w:sz="0" w:space="0" w:color="auto"/>
          </w:divBdr>
        </w:div>
        <w:div w:id="1246961067">
          <w:marLeft w:val="0"/>
          <w:marRight w:val="0"/>
          <w:marTop w:val="0"/>
          <w:marBottom w:val="0"/>
          <w:divBdr>
            <w:top w:val="none" w:sz="0" w:space="0" w:color="auto"/>
            <w:left w:val="none" w:sz="0" w:space="0" w:color="auto"/>
            <w:bottom w:val="none" w:sz="0" w:space="0" w:color="auto"/>
            <w:right w:val="none" w:sz="0" w:space="0" w:color="auto"/>
          </w:divBdr>
        </w:div>
        <w:div w:id="1291739706">
          <w:marLeft w:val="0"/>
          <w:marRight w:val="0"/>
          <w:marTop w:val="0"/>
          <w:marBottom w:val="0"/>
          <w:divBdr>
            <w:top w:val="none" w:sz="0" w:space="0" w:color="auto"/>
            <w:left w:val="none" w:sz="0" w:space="0" w:color="auto"/>
            <w:bottom w:val="none" w:sz="0" w:space="0" w:color="auto"/>
            <w:right w:val="none" w:sz="0" w:space="0" w:color="auto"/>
          </w:divBdr>
        </w:div>
        <w:div w:id="1390691847">
          <w:marLeft w:val="0"/>
          <w:marRight w:val="0"/>
          <w:marTop w:val="0"/>
          <w:marBottom w:val="0"/>
          <w:divBdr>
            <w:top w:val="none" w:sz="0" w:space="0" w:color="auto"/>
            <w:left w:val="none" w:sz="0" w:space="0" w:color="auto"/>
            <w:bottom w:val="none" w:sz="0" w:space="0" w:color="auto"/>
            <w:right w:val="none" w:sz="0" w:space="0" w:color="auto"/>
          </w:divBdr>
        </w:div>
        <w:div w:id="1406952491">
          <w:marLeft w:val="0"/>
          <w:marRight w:val="0"/>
          <w:marTop w:val="0"/>
          <w:marBottom w:val="0"/>
          <w:divBdr>
            <w:top w:val="none" w:sz="0" w:space="0" w:color="auto"/>
            <w:left w:val="none" w:sz="0" w:space="0" w:color="auto"/>
            <w:bottom w:val="none" w:sz="0" w:space="0" w:color="auto"/>
            <w:right w:val="none" w:sz="0" w:space="0" w:color="auto"/>
          </w:divBdr>
        </w:div>
        <w:div w:id="1426145257">
          <w:marLeft w:val="0"/>
          <w:marRight w:val="0"/>
          <w:marTop w:val="0"/>
          <w:marBottom w:val="0"/>
          <w:divBdr>
            <w:top w:val="none" w:sz="0" w:space="0" w:color="auto"/>
            <w:left w:val="none" w:sz="0" w:space="0" w:color="auto"/>
            <w:bottom w:val="none" w:sz="0" w:space="0" w:color="auto"/>
            <w:right w:val="none" w:sz="0" w:space="0" w:color="auto"/>
          </w:divBdr>
        </w:div>
        <w:div w:id="1445225029">
          <w:marLeft w:val="0"/>
          <w:marRight w:val="0"/>
          <w:marTop w:val="0"/>
          <w:marBottom w:val="0"/>
          <w:divBdr>
            <w:top w:val="none" w:sz="0" w:space="0" w:color="auto"/>
            <w:left w:val="none" w:sz="0" w:space="0" w:color="auto"/>
            <w:bottom w:val="none" w:sz="0" w:space="0" w:color="auto"/>
            <w:right w:val="none" w:sz="0" w:space="0" w:color="auto"/>
          </w:divBdr>
        </w:div>
        <w:div w:id="1493831003">
          <w:marLeft w:val="0"/>
          <w:marRight w:val="0"/>
          <w:marTop w:val="0"/>
          <w:marBottom w:val="0"/>
          <w:divBdr>
            <w:top w:val="none" w:sz="0" w:space="0" w:color="auto"/>
            <w:left w:val="none" w:sz="0" w:space="0" w:color="auto"/>
            <w:bottom w:val="none" w:sz="0" w:space="0" w:color="auto"/>
            <w:right w:val="none" w:sz="0" w:space="0" w:color="auto"/>
          </w:divBdr>
        </w:div>
        <w:div w:id="1584947794">
          <w:marLeft w:val="0"/>
          <w:marRight w:val="0"/>
          <w:marTop w:val="0"/>
          <w:marBottom w:val="0"/>
          <w:divBdr>
            <w:top w:val="none" w:sz="0" w:space="0" w:color="auto"/>
            <w:left w:val="none" w:sz="0" w:space="0" w:color="auto"/>
            <w:bottom w:val="none" w:sz="0" w:space="0" w:color="auto"/>
            <w:right w:val="none" w:sz="0" w:space="0" w:color="auto"/>
          </w:divBdr>
        </w:div>
        <w:div w:id="1638678081">
          <w:marLeft w:val="0"/>
          <w:marRight w:val="0"/>
          <w:marTop w:val="0"/>
          <w:marBottom w:val="0"/>
          <w:divBdr>
            <w:top w:val="none" w:sz="0" w:space="0" w:color="auto"/>
            <w:left w:val="none" w:sz="0" w:space="0" w:color="auto"/>
            <w:bottom w:val="none" w:sz="0" w:space="0" w:color="auto"/>
            <w:right w:val="none" w:sz="0" w:space="0" w:color="auto"/>
          </w:divBdr>
        </w:div>
        <w:div w:id="1644042370">
          <w:marLeft w:val="0"/>
          <w:marRight w:val="0"/>
          <w:marTop w:val="0"/>
          <w:marBottom w:val="0"/>
          <w:divBdr>
            <w:top w:val="none" w:sz="0" w:space="0" w:color="auto"/>
            <w:left w:val="none" w:sz="0" w:space="0" w:color="auto"/>
            <w:bottom w:val="none" w:sz="0" w:space="0" w:color="auto"/>
            <w:right w:val="none" w:sz="0" w:space="0" w:color="auto"/>
          </w:divBdr>
        </w:div>
        <w:div w:id="1761951112">
          <w:marLeft w:val="0"/>
          <w:marRight w:val="0"/>
          <w:marTop w:val="0"/>
          <w:marBottom w:val="0"/>
          <w:divBdr>
            <w:top w:val="none" w:sz="0" w:space="0" w:color="auto"/>
            <w:left w:val="none" w:sz="0" w:space="0" w:color="auto"/>
            <w:bottom w:val="none" w:sz="0" w:space="0" w:color="auto"/>
            <w:right w:val="none" w:sz="0" w:space="0" w:color="auto"/>
          </w:divBdr>
        </w:div>
        <w:div w:id="1766069557">
          <w:marLeft w:val="0"/>
          <w:marRight w:val="0"/>
          <w:marTop w:val="0"/>
          <w:marBottom w:val="0"/>
          <w:divBdr>
            <w:top w:val="none" w:sz="0" w:space="0" w:color="auto"/>
            <w:left w:val="none" w:sz="0" w:space="0" w:color="auto"/>
            <w:bottom w:val="none" w:sz="0" w:space="0" w:color="auto"/>
            <w:right w:val="none" w:sz="0" w:space="0" w:color="auto"/>
          </w:divBdr>
        </w:div>
        <w:div w:id="1862010022">
          <w:marLeft w:val="0"/>
          <w:marRight w:val="0"/>
          <w:marTop w:val="0"/>
          <w:marBottom w:val="0"/>
          <w:divBdr>
            <w:top w:val="none" w:sz="0" w:space="0" w:color="auto"/>
            <w:left w:val="none" w:sz="0" w:space="0" w:color="auto"/>
            <w:bottom w:val="none" w:sz="0" w:space="0" w:color="auto"/>
            <w:right w:val="none" w:sz="0" w:space="0" w:color="auto"/>
          </w:divBdr>
        </w:div>
        <w:div w:id="1917545780">
          <w:marLeft w:val="0"/>
          <w:marRight w:val="0"/>
          <w:marTop w:val="0"/>
          <w:marBottom w:val="0"/>
          <w:divBdr>
            <w:top w:val="none" w:sz="0" w:space="0" w:color="auto"/>
            <w:left w:val="none" w:sz="0" w:space="0" w:color="auto"/>
            <w:bottom w:val="none" w:sz="0" w:space="0" w:color="auto"/>
            <w:right w:val="none" w:sz="0" w:space="0" w:color="auto"/>
          </w:divBdr>
        </w:div>
        <w:div w:id="1975210579">
          <w:marLeft w:val="0"/>
          <w:marRight w:val="0"/>
          <w:marTop w:val="0"/>
          <w:marBottom w:val="0"/>
          <w:divBdr>
            <w:top w:val="none" w:sz="0" w:space="0" w:color="auto"/>
            <w:left w:val="none" w:sz="0" w:space="0" w:color="auto"/>
            <w:bottom w:val="none" w:sz="0" w:space="0" w:color="auto"/>
            <w:right w:val="none" w:sz="0" w:space="0" w:color="auto"/>
          </w:divBdr>
        </w:div>
        <w:div w:id="2004384172">
          <w:marLeft w:val="0"/>
          <w:marRight w:val="0"/>
          <w:marTop w:val="0"/>
          <w:marBottom w:val="0"/>
          <w:divBdr>
            <w:top w:val="none" w:sz="0" w:space="0" w:color="auto"/>
            <w:left w:val="none" w:sz="0" w:space="0" w:color="auto"/>
            <w:bottom w:val="none" w:sz="0" w:space="0" w:color="auto"/>
            <w:right w:val="none" w:sz="0" w:space="0" w:color="auto"/>
          </w:divBdr>
        </w:div>
        <w:div w:id="2040157576">
          <w:marLeft w:val="0"/>
          <w:marRight w:val="0"/>
          <w:marTop w:val="0"/>
          <w:marBottom w:val="0"/>
          <w:divBdr>
            <w:top w:val="none" w:sz="0" w:space="0" w:color="auto"/>
            <w:left w:val="none" w:sz="0" w:space="0" w:color="auto"/>
            <w:bottom w:val="none" w:sz="0" w:space="0" w:color="auto"/>
            <w:right w:val="none" w:sz="0" w:space="0" w:color="auto"/>
          </w:divBdr>
        </w:div>
        <w:div w:id="2077510017">
          <w:marLeft w:val="0"/>
          <w:marRight w:val="0"/>
          <w:marTop w:val="0"/>
          <w:marBottom w:val="0"/>
          <w:divBdr>
            <w:top w:val="none" w:sz="0" w:space="0" w:color="auto"/>
            <w:left w:val="none" w:sz="0" w:space="0" w:color="auto"/>
            <w:bottom w:val="none" w:sz="0" w:space="0" w:color="auto"/>
            <w:right w:val="none" w:sz="0" w:space="0" w:color="auto"/>
          </w:divBdr>
        </w:div>
        <w:div w:id="2080053212">
          <w:marLeft w:val="0"/>
          <w:marRight w:val="0"/>
          <w:marTop w:val="0"/>
          <w:marBottom w:val="0"/>
          <w:divBdr>
            <w:top w:val="none" w:sz="0" w:space="0" w:color="auto"/>
            <w:left w:val="none" w:sz="0" w:space="0" w:color="auto"/>
            <w:bottom w:val="none" w:sz="0" w:space="0" w:color="auto"/>
            <w:right w:val="none" w:sz="0" w:space="0" w:color="auto"/>
          </w:divBdr>
        </w:div>
      </w:divsChild>
    </w:div>
    <w:div w:id="1712459278">
      <w:bodyDiv w:val="1"/>
      <w:marLeft w:val="0"/>
      <w:marRight w:val="0"/>
      <w:marTop w:val="0"/>
      <w:marBottom w:val="0"/>
      <w:divBdr>
        <w:top w:val="none" w:sz="0" w:space="0" w:color="auto"/>
        <w:left w:val="none" w:sz="0" w:space="0" w:color="auto"/>
        <w:bottom w:val="none" w:sz="0" w:space="0" w:color="auto"/>
        <w:right w:val="none" w:sz="0" w:space="0" w:color="auto"/>
      </w:divBdr>
      <w:divsChild>
        <w:div w:id="774056199">
          <w:marLeft w:val="0"/>
          <w:marRight w:val="0"/>
          <w:marTop w:val="0"/>
          <w:marBottom w:val="0"/>
          <w:divBdr>
            <w:top w:val="none" w:sz="0" w:space="0" w:color="auto"/>
            <w:left w:val="none" w:sz="0" w:space="0" w:color="auto"/>
            <w:bottom w:val="none" w:sz="0" w:space="0" w:color="auto"/>
            <w:right w:val="none" w:sz="0" w:space="0" w:color="auto"/>
          </w:divBdr>
        </w:div>
        <w:div w:id="1083137747">
          <w:marLeft w:val="0"/>
          <w:marRight w:val="0"/>
          <w:marTop w:val="0"/>
          <w:marBottom w:val="0"/>
          <w:divBdr>
            <w:top w:val="none" w:sz="0" w:space="0" w:color="auto"/>
            <w:left w:val="none" w:sz="0" w:space="0" w:color="auto"/>
            <w:bottom w:val="none" w:sz="0" w:space="0" w:color="auto"/>
            <w:right w:val="none" w:sz="0" w:space="0" w:color="auto"/>
          </w:divBdr>
        </w:div>
        <w:div w:id="1922253320">
          <w:marLeft w:val="0"/>
          <w:marRight w:val="0"/>
          <w:marTop w:val="0"/>
          <w:marBottom w:val="0"/>
          <w:divBdr>
            <w:top w:val="none" w:sz="0" w:space="0" w:color="auto"/>
            <w:left w:val="none" w:sz="0" w:space="0" w:color="auto"/>
            <w:bottom w:val="none" w:sz="0" w:space="0" w:color="auto"/>
            <w:right w:val="none" w:sz="0" w:space="0" w:color="auto"/>
          </w:divBdr>
        </w:div>
      </w:divsChild>
    </w:div>
    <w:div w:id="1713581061">
      <w:bodyDiv w:val="1"/>
      <w:marLeft w:val="0"/>
      <w:marRight w:val="0"/>
      <w:marTop w:val="0"/>
      <w:marBottom w:val="0"/>
      <w:divBdr>
        <w:top w:val="none" w:sz="0" w:space="0" w:color="auto"/>
        <w:left w:val="none" w:sz="0" w:space="0" w:color="auto"/>
        <w:bottom w:val="none" w:sz="0" w:space="0" w:color="auto"/>
        <w:right w:val="none" w:sz="0" w:space="0" w:color="auto"/>
      </w:divBdr>
    </w:div>
    <w:div w:id="1733237624">
      <w:bodyDiv w:val="1"/>
      <w:marLeft w:val="0"/>
      <w:marRight w:val="0"/>
      <w:marTop w:val="0"/>
      <w:marBottom w:val="0"/>
      <w:divBdr>
        <w:top w:val="none" w:sz="0" w:space="0" w:color="auto"/>
        <w:left w:val="none" w:sz="0" w:space="0" w:color="auto"/>
        <w:bottom w:val="none" w:sz="0" w:space="0" w:color="auto"/>
        <w:right w:val="none" w:sz="0" w:space="0" w:color="auto"/>
      </w:divBdr>
      <w:divsChild>
        <w:div w:id="169755366">
          <w:marLeft w:val="274"/>
          <w:marRight w:val="0"/>
          <w:marTop w:val="0"/>
          <w:marBottom w:val="0"/>
          <w:divBdr>
            <w:top w:val="none" w:sz="0" w:space="0" w:color="auto"/>
            <w:left w:val="none" w:sz="0" w:space="0" w:color="auto"/>
            <w:bottom w:val="none" w:sz="0" w:space="0" w:color="auto"/>
            <w:right w:val="none" w:sz="0" w:space="0" w:color="auto"/>
          </w:divBdr>
        </w:div>
        <w:div w:id="704867660">
          <w:marLeft w:val="274"/>
          <w:marRight w:val="0"/>
          <w:marTop w:val="0"/>
          <w:marBottom w:val="0"/>
          <w:divBdr>
            <w:top w:val="none" w:sz="0" w:space="0" w:color="auto"/>
            <w:left w:val="none" w:sz="0" w:space="0" w:color="auto"/>
            <w:bottom w:val="none" w:sz="0" w:space="0" w:color="auto"/>
            <w:right w:val="none" w:sz="0" w:space="0" w:color="auto"/>
          </w:divBdr>
        </w:div>
        <w:div w:id="1294797255">
          <w:marLeft w:val="274"/>
          <w:marRight w:val="0"/>
          <w:marTop w:val="0"/>
          <w:marBottom w:val="0"/>
          <w:divBdr>
            <w:top w:val="none" w:sz="0" w:space="0" w:color="auto"/>
            <w:left w:val="none" w:sz="0" w:space="0" w:color="auto"/>
            <w:bottom w:val="none" w:sz="0" w:space="0" w:color="auto"/>
            <w:right w:val="none" w:sz="0" w:space="0" w:color="auto"/>
          </w:divBdr>
        </w:div>
        <w:div w:id="1481994579">
          <w:marLeft w:val="274"/>
          <w:marRight w:val="0"/>
          <w:marTop w:val="0"/>
          <w:marBottom w:val="0"/>
          <w:divBdr>
            <w:top w:val="none" w:sz="0" w:space="0" w:color="auto"/>
            <w:left w:val="none" w:sz="0" w:space="0" w:color="auto"/>
            <w:bottom w:val="none" w:sz="0" w:space="0" w:color="auto"/>
            <w:right w:val="none" w:sz="0" w:space="0" w:color="auto"/>
          </w:divBdr>
        </w:div>
        <w:div w:id="1774593688">
          <w:marLeft w:val="274"/>
          <w:marRight w:val="0"/>
          <w:marTop w:val="0"/>
          <w:marBottom w:val="0"/>
          <w:divBdr>
            <w:top w:val="none" w:sz="0" w:space="0" w:color="auto"/>
            <w:left w:val="none" w:sz="0" w:space="0" w:color="auto"/>
            <w:bottom w:val="none" w:sz="0" w:space="0" w:color="auto"/>
            <w:right w:val="none" w:sz="0" w:space="0" w:color="auto"/>
          </w:divBdr>
        </w:div>
      </w:divsChild>
    </w:div>
    <w:div w:id="1752969495">
      <w:bodyDiv w:val="1"/>
      <w:marLeft w:val="0"/>
      <w:marRight w:val="0"/>
      <w:marTop w:val="0"/>
      <w:marBottom w:val="0"/>
      <w:divBdr>
        <w:top w:val="none" w:sz="0" w:space="0" w:color="auto"/>
        <w:left w:val="none" w:sz="0" w:space="0" w:color="auto"/>
        <w:bottom w:val="none" w:sz="0" w:space="0" w:color="auto"/>
        <w:right w:val="none" w:sz="0" w:space="0" w:color="auto"/>
      </w:divBdr>
      <w:divsChild>
        <w:div w:id="410665341">
          <w:marLeft w:val="0"/>
          <w:marRight w:val="0"/>
          <w:marTop w:val="0"/>
          <w:marBottom w:val="0"/>
          <w:divBdr>
            <w:top w:val="none" w:sz="0" w:space="0" w:color="auto"/>
            <w:left w:val="none" w:sz="0" w:space="0" w:color="auto"/>
            <w:bottom w:val="none" w:sz="0" w:space="0" w:color="auto"/>
            <w:right w:val="none" w:sz="0" w:space="0" w:color="auto"/>
          </w:divBdr>
        </w:div>
        <w:div w:id="609900823">
          <w:marLeft w:val="0"/>
          <w:marRight w:val="0"/>
          <w:marTop w:val="0"/>
          <w:marBottom w:val="0"/>
          <w:divBdr>
            <w:top w:val="none" w:sz="0" w:space="0" w:color="auto"/>
            <w:left w:val="none" w:sz="0" w:space="0" w:color="auto"/>
            <w:bottom w:val="none" w:sz="0" w:space="0" w:color="auto"/>
            <w:right w:val="none" w:sz="0" w:space="0" w:color="auto"/>
          </w:divBdr>
        </w:div>
        <w:div w:id="1653827338">
          <w:marLeft w:val="0"/>
          <w:marRight w:val="0"/>
          <w:marTop w:val="0"/>
          <w:marBottom w:val="0"/>
          <w:divBdr>
            <w:top w:val="none" w:sz="0" w:space="0" w:color="auto"/>
            <w:left w:val="none" w:sz="0" w:space="0" w:color="auto"/>
            <w:bottom w:val="none" w:sz="0" w:space="0" w:color="auto"/>
            <w:right w:val="none" w:sz="0" w:space="0" w:color="auto"/>
          </w:divBdr>
        </w:div>
      </w:divsChild>
    </w:div>
    <w:div w:id="1762413437">
      <w:bodyDiv w:val="1"/>
      <w:marLeft w:val="0"/>
      <w:marRight w:val="0"/>
      <w:marTop w:val="0"/>
      <w:marBottom w:val="0"/>
      <w:divBdr>
        <w:top w:val="none" w:sz="0" w:space="0" w:color="auto"/>
        <w:left w:val="none" w:sz="0" w:space="0" w:color="auto"/>
        <w:bottom w:val="none" w:sz="0" w:space="0" w:color="auto"/>
        <w:right w:val="none" w:sz="0" w:space="0" w:color="auto"/>
      </w:divBdr>
      <w:divsChild>
        <w:div w:id="103497584">
          <w:marLeft w:val="0"/>
          <w:marRight w:val="0"/>
          <w:marTop w:val="0"/>
          <w:marBottom w:val="0"/>
          <w:divBdr>
            <w:top w:val="none" w:sz="0" w:space="0" w:color="auto"/>
            <w:left w:val="none" w:sz="0" w:space="0" w:color="auto"/>
            <w:bottom w:val="none" w:sz="0" w:space="0" w:color="auto"/>
            <w:right w:val="none" w:sz="0" w:space="0" w:color="auto"/>
          </w:divBdr>
        </w:div>
        <w:div w:id="147551303">
          <w:marLeft w:val="0"/>
          <w:marRight w:val="0"/>
          <w:marTop w:val="0"/>
          <w:marBottom w:val="0"/>
          <w:divBdr>
            <w:top w:val="none" w:sz="0" w:space="0" w:color="auto"/>
            <w:left w:val="none" w:sz="0" w:space="0" w:color="auto"/>
            <w:bottom w:val="none" w:sz="0" w:space="0" w:color="auto"/>
            <w:right w:val="none" w:sz="0" w:space="0" w:color="auto"/>
          </w:divBdr>
        </w:div>
        <w:div w:id="259988203">
          <w:marLeft w:val="0"/>
          <w:marRight w:val="0"/>
          <w:marTop w:val="0"/>
          <w:marBottom w:val="0"/>
          <w:divBdr>
            <w:top w:val="none" w:sz="0" w:space="0" w:color="auto"/>
            <w:left w:val="none" w:sz="0" w:space="0" w:color="auto"/>
            <w:bottom w:val="none" w:sz="0" w:space="0" w:color="auto"/>
            <w:right w:val="none" w:sz="0" w:space="0" w:color="auto"/>
          </w:divBdr>
        </w:div>
        <w:div w:id="313264481">
          <w:marLeft w:val="0"/>
          <w:marRight w:val="0"/>
          <w:marTop w:val="0"/>
          <w:marBottom w:val="0"/>
          <w:divBdr>
            <w:top w:val="none" w:sz="0" w:space="0" w:color="auto"/>
            <w:left w:val="none" w:sz="0" w:space="0" w:color="auto"/>
            <w:bottom w:val="none" w:sz="0" w:space="0" w:color="auto"/>
            <w:right w:val="none" w:sz="0" w:space="0" w:color="auto"/>
          </w:divBdr>
        </w:div>
        <w:div w:id="510996089">
          <w:marLeft w:val="0"/>
          <w:marRight w:val="0"/>
          <w:marTop w:val="0"/>
          <w:marBottom w:val="0"/>
          <w:divBdr>
            <w:top w:val="none" w:sz="0" w:space="0" w:color="auto"/>
            <w:left w:val="none" w:sz="0" w:space="0" w:color="auto"/>
            <w:bottom w:val="none" w:sz="0" w:space="0" w:color="auto"/>
            <w:right w:val="none" w:sz="0" w:space="0" w:color="auto"/>
          </w:divBdr>
        </w:div>
        <w:div w:id="525336741">
          <w:marLeft w:val="0"/>
          <w:marRight w:val="0"/>
          <w:marTop w:val="0"/>
          <w:marBottom w:val="0"/>
          <w:divBdr>
            <w:top w:val="none" w:sz="0" w:space="0" w:color="auto"/>
            <w:left w:val="none" w:sz="0" w:space="0" w:color="auto"/>
            <w:bottom w:val="none" w:sz="0" w:space="0" w:color="auto"/>
            <w:right w:val="none" w:sz="0" w:space="0" w:color="auto"/>
          </w:divBdr>
        </w:div>
        <w:div w:id="526216829">
          <w:marLeft w:val="0"/>
          <w:marRight w:val="0"/>
          <w:marTop w:val="0"/>
          <w:marBottom w:val="0"/>
          <w:divBdr>
            <w:top w:val="none" w:sz="0" w:space="0" w:color="auto"/>
            <w:left w:val="none" w:sz="0" w:space="0" w:color="auto"/>
            <w:bottom w:val="none" w:sz="0" w:space="0" w:color="auto"/>
            <w:right w:val="none" w:sz="0" w:space="0" w:color="auto"/>
          </w:divBdr>
        </w:div>
        <w:div w:id="534462938">
          <w:marLeft w:val="0"/>
          <w:marRight w:val="0"/>
          <w:marTop w:val="0"/>
          <w:marBottom w:val="0"/>
          <w:divBdr>
            <w:top w:val="none" w:sz="0" w:space="0" w:color="auto"/>
            <w:left w:val="none" w:sz="0" w:space="0" w:color="auto"/>
            <w:bottom w:val="none" w:sz="0" w:space="0" w:color="auto"/>
            <w:right w:val="none" w:sz="0" w:space="0" w:color="auto"/>
          </w:divBdr>
        </w:div>
        <w:div w:id="577180279">
          <w:marLeft w:val="0"/>
          <w:marRight w:val="0"/>
          <w:marTop w:val="0"/>
          <w:marBottom w:val="0"/>
          <w:divBdr>
            <w:top w:val="none" w:sz="0" w:space="0" w:color="auto"/>
            <w:left w:val="none" w:sz="0" w:space="0" w:color="auto"/>
            <w:bottom w:val="none" w:sz="0" w:space="0" w:color="auto"/>
            <w:right w:val="none" w:sz="0" w:space="0" w:color="auto"/>
          </w:divBdr>
        </w:div>
        <w:div w:id="587153664">
          <w:marLeft w:val="0"/>
          <w:marRight w:val="0"/>
          <w:marTop w:val="0"/>
          <w:marBottom w:val="0"/>
          <w:divBdr>
            <w:top w:val="none" w:sz="0" w:space="0" w:color="auto"/>
            <w:left w:val="none" w:sz="0" w:space="0" w:color="auto"/>
            <w:bottom w:val="none" w:sz="0" w:space="0" w:color="auto"/>
            <w:right w:val="none" w:sz="0" w:space="0" w:color="auto"/>
          </w:divBdr>
        </w:div>
        <w:div w:id="614334616">
          <w:marLeft w:val="0"/>
          <w:marRight w:val="0"/>
          <w:marTop w:val="0"/>
          <w:marBottom w:val="0"/>
          <w:divBdr>
            <w:top w:val="none" w:sz="0" w:space="0" w:color="auto"/>
            <w:left w:val="none" w:sz="0" w:space="0" w:color="auto"/>
            <w:bottom w:val="none" w:sz="0" w:space="0" w:color="auto"/>
            <w:right w:val="none" w:sz="0" w:space="0" w:color="auto"/>
          </w:divBdr>
        </w:div>
        <w:div w:id="619339404">
          <w:marLeft w:val="0"/>
          <w:marRight w:val="0"/>
          <w:marTop w:val="0"/>
          <w:marBottom w:val="0"/>
          <w:divBdr>
            <w:top w:val="none" w:sz="0" w:space="0" w:color="auto"/>
            <w:left w:val="none" w:sz="0" w:space="0" w:color="auto"/>
            <w:bottom w:val="none" w:sz="0" w:space="0" w:color="auto"/>
            <w:right w:val="none" w:sz="0" w:space="0" w:color="auto"/>
          </w:divBdr>
        </w:div>
        <w:div w:id="640162075">
          <w:marLeft w:val="0"/>
          <w:marRight w:val="0"/>
          <w:marTop w:val="0"/>
          <w:marBottom w:val="0"/>
          <w:divBdr>
            <w:top w:val="none" w:sz="0" w:space="0" w:color="auto"/>
            <w:left w:val="none" w:sz="0" w:space="0" w:color="auto"/>
            <w:bottom w:val="none" w:sz="0" w:space="0" w:color="auto"/>
            <w:right w:val="none" w:sz="0" w:space="0" w:color="auto"/>
          </w:divBdr>
        </w:div>
        <w:div w:id="881669737">
          <w:marLeft w:val="0"/>
          <w:marRight w:val="0"/>
          <w:marTop w:val="0"/>
          <w:marBottom w:val="0"/>
          <w:divBdr>
            <w:top w:val="none" w:sz="0" w:space="0" w:color="auto"/>
            <w:left w:val="none" w:sz="0" w:space="0" w:color="auto"/>
            <w:bottom w:val="none" w:sz="0" w:space="0" w:color="auto"/>
            <w:right w:val="none" w:sz="0" w:space="0" w:color="auto"/>
          </w:divBdr>
        </w:div>
        <w:div w:id="885917525">
          <w:marLeft w:val="0"/>
          <w:marRight w:val="0"/>
          <w:marTop w:val="0"/>
          <w:marBottom w:val="0"/>
          <w:divBdr>
            <w:top w:val="none" w:sz="0" w:space="0" w:color="auto"/>
            <w:left w:val="none" w:sz="0" w:space="0" w:color="auto"/>
            <w:bottom w:val="none" w:sz="0" w:space="0" w:color="auto"/>
            <w:right w:val="none" w:sz="0" w:space="0" w:color="auto"/>
          </w:divBdr>
        </w:div>
        <w:div w:id="1012223278">
          <w:marLeft w:val="0"/>
          <w:marRight w:val="0"/>
          <w:marTop w:val="0"/>
          <w:marBottom w:val="0"/>
          <w:divBdr>
            <w:top w:val="none" w:sz="0" w:space="0" w:color="auto"/>
            <w:left w:val="none" w:sz="0" w:space="0" w:color="auto"/>
            <w:bottom w:val="none" w:sz="0" w:space="0" w:color="auto"/>
            <w:right w:val="none" w:sz="0" w:space="0" w:color="auto"/>
          </w:divBdr>
        </w:div>
        <w:div w:id="1091196850">
          <w:marLeft w:val="0"/>
          <w:marRight w:val="0"/>
          <w:marTop w:val="0"/>
          <w:marBottom w:val="0"/>
          <w:divBdr>
            <w:top w:val="none" w:sz="0" w:space="0" w:color="auto"/>
            <w:left w:val="none" w:sz="0" w:space="0" w:color="auto"/>
            <w:bottom w:val="none" w:sz="0" w:space="0" w:color="auto"/>
            <w:right w:val="none" w:sz="0" w:space="0" w:color="auto"/>
          </w:divBdr>
        </w:div>
        <w:div w:id="1137452087">
          <w:marLeft w:val="0"/>
          <w:marRight w:val="0"/>
          <w:marTop w:val="0"/>
          <w:marBottom w:val="0"/>
          <w:divBdr>
            <w:top w:val="none" w:sz="0" w:space="0" w:color="auto"/>
            <w:left w:val="none" w:sz="0" w:space="0" w:color="auto"/>
            <w:bottom w:val="none" w:sz="0" w:space="0" w:color="auto"/>
            <w:right w:val="none" w:sz="0" w:space="0" w:color="auto"/>
          </w:divBdr>
        </w:div>
        <w:div w:id="1204560949">
          <w:marLeft w:val="0"/>
          <w:marRight w:val="0"/>
          <w:marTop w:val="0"/>
          <w:marBottom w:val="0"/>
          <w:divBdr>
            <w:top w:val="none" w:sz="0" w:space="0" w:color="auto"/>
            <w:left w:val="none" w:sz="0" w:space="0" w:color="auto"/>
            <w:bottom w:val="none" w:sz="0" w:space="0" w:color="auto"/>
            <w:right w:val="none" w:sz="0" w:space="0" w:color="auto"/>
          </w:divBdr>
        </w:div>
        <w:div w:id="1227641145">
          <w:marLeft w:val="0"/>
          <w:marRight w:val="0"/>
          <w:marTop w:val="0"/>
          <w:marBottom w:val="0"/>
          <w:divBdr>
            <w:top w:val="none" w:sz="0" w:space="0" w:color="auto"/>
            <w:left w:val="none" w:sz="0" w:space="0" w:color="auto"/>
            <w:bottom w:val="none" w:sz="0" w:space="0" w:color="auto"/>
            <w:right w:val="none" w:sz="0" w:space="0" w:color="auto"/>
          </w:divBdr>
        </w:div>
        <w:div w:id="1248154818">
          <w:marLeft w:val="0"/>
          <w:marRight w:val="0"/>
          <w:marTop w:val="0"/>
          <w:marBottom w:val="0"/>
          <w:divBdr>
            <w:top w:val="none" w:sz="0" w:space="0" w:color="auto"/>
            <w:left w:val="none" w:sz="0" w:space="0" w:color="auto"/>
            <w:bottom w:val="none" w:sz="0" w:space="0" w:color="auto"/>
            <w:right w:val="none" w:sz="0" w:space="0" w:color="auto"/>
          </w:divBdr>
        </w:div>
        <w:div w:id="1273052280">
          <w:marLeft w:val="0"/>
          <w:marRight w:val="0"/>
          <w:marTop w:val="0"/>
          <w:marBottom w:val="0"/>
          <w:divBdr>
            <w:top w:val="none" w:sz="0" w:space="0" w:color="auto"/>
            <w:left w:val="none" w:sz="0" w:space="0" w:color="auto"/>
            <w:bottom w:val="none" w:sz="0" w:space="0" w:color="auto"/>
            <w:right w:val="none" w:sz="0" w:space="0" w:color="auto"/>
          </w:divBdr>
        </w:div>
        <w:div w:id="1302660078">
          <w:marLeft w:val="0"/>
          <w:marRight w:val="0"/>
          <w:marTop w:val="0"/>
          <w:marBottom w:val="0"/>
          <w:divBdr>
            <w:top w:val="none" w:sz="0" w:space="0" w:color="auto"/>
            <w:left w:val="none" w:sz="0" w:space="0" w:color="auto"/>
            <w:bottom w:val="none" w:sz="0" w:space="0" w:color="auto"/>
            <w:right w:val="none" w:sz="0" w:space="0" w:color="auto"/>
          </w:divBdr>
        </w:div>
        <w:div w:id="1420911270">
          <w:marLeft w:val="0"/>
          <w:marRight w:val="0"/>
          <w:marTop w:val="0"/>
          <w:marBottom w:val="0"/>
          <w:divBdr>
            <w:top w:val="none" w:sz="0" w:space="0" w:color="auto"/>
            <w:left w:val="none" w:sz="0" w:space="0" w:color="auto"/>
            <w:bottom w:val="none" w:sz="0" w:space="0" w:color="auto"/>
            <w:right w:val="none" w:sz="0" w:space="0" w:color="auto"/>
          </w:divBdr>
        </w:div>
        <w:div w:id="1455631336">
          <w:marLeft w:val="0"/>
          <w:marRight w:val="0"/>
          <w:marTop w:val="0"/>
          <w:marBottom w:val="0"/>
          <w:divBdr>
            <w:top w:val="none" w:sz="0" w:space="0" w:color="auto"/>
            <w:left w:val="none" w:sz="0" w:space="0" w:color="auto"/>
            <w:bottom w:val="none" w:sz="0" w:space="0" w:color="auto"/>
            <w:right w:val="none" w:sz="0" w:space="0" w:color="auto"/>
          </w:divBdr>
        </w:div>
        <w:div w:id="1481654070">
          <w:marLeft w:val="0"/>
          <w:marRight w:val="0"/>
          <w:marTop w:val="0"/>
          <w:marBottom w:val="0"/>
          <w:divBdr>
            <w:top w:val="none" w:sz="0" w:space="0" w:color="auto"/>
            <w:left w:val="none" w:sz="0" w:space="0" w:color="auto"/>
            <w:bottom w:val="none" w:sz="0" w:space="0" w:color="auto"/>
            <w:right w:val="none" w:sz="0" w:space="0" w:color="auto"/>
          </w:divBdr>
        </w:div>
        <w:div w:id="1535191357">
          <w:marLeft w:val="0"/>
          <w:marRight w:val="0"/>
          <w:marTop w:val="0"/>
          <w:marBottom w:val="0"/>
          <w:divBdr>
            <w:top w:val="none" w:sz="0" w:space="0" w:color="auto"/>
            <w:left w:val="none" w:sz="0" w:space="0" w:color="auto"/>
            <w:bottom w:val="none" w:sz="0" w:space="0" w:color="auto"/>
            <w:right w:val="none" w:sz="0" w:space="0" w:color="auto"/>
          </w:divBdr>
        </w:div>
        <w:div w:id="1546672066">
          <w:marLeft w:val="0"/>
          <w:marRight w:val="0"/>
          <w:marTop w:val="0"/>
          <w:marBottom w:val="0"/>
          <w:divBdr>
            <w:top w:val="none" w:sz="0" w:space="0" w:color="auto"/>
            <w:left w:val="none" w:sz="0" w:space="0" w:color="auto"/>
            <w:bottom w:val="none" w:sz="0" w:space="0" w:color="auto"/>
            <w:right w:val="none" w:sz="0" w:space="0" w:color="auto"/>
          </w:divBdr>
        </w:div>
        <w:div w:id="1623608458">
          <w:marLeft w:val="0"/>
          <w:marRight w:val="0"/>
          <w:marTop w:val="0"/>
          <w:marBottom w:val="0"/>
          <w:divBdr>
            <w:top w:val="none" w:sz="0" w:space="0" w:color="auto"/>
            <w:left w:val="none" w:sz="0" w:space="0" w:color="auto"/>
            <w:bottom w:val="none" w:sz="0" w:space="0" w:color="auto"/>
            <w:right w:val="none" w:sz="0" w:space="0" w:color="auto"/>
          </w:divBdr>
        </w:div>
        <w:div w:id="1719744508">
          <w:marLeft w:val="0"/>
          <w:marRight w:val="0"/>
          <w:marTop w:val="0"/>
          <w:marBottom w:val="0"/>
          <w:divBdr>
            <w:top w:val="none" w:sz="0" w:space="0" w:color="auto"/>
            <w:left w:val="none" w:sz="0" w:space="0" w:color="auto"/>
            <w:bottom w:val="none" w:sz="0" w:space="0" w:color="auto"/>
            <w:right w:val="none" w:sz="0" w:space="0" w:color="auto"/>
          </w:divBdr>
        </w:div>
        <w:div w:id="1753117121">
          <w:marLeft w:val="0"/>
          <w:marRight w:val="0"/>
          <w:marTop w:val="0"/>
          <w:marBottom w:val="0"/>
          <w:divBdr>
            <w:top w:val="none" w:sz="0" w:space="0" w:color="auto"/>
            <w:left w:val="none" w:sz="0" w:space="0" w:color="auto"/>
            <w:bottom w:val="none" w:sz="0" w:space="0" w:color="auto"/>
            <w:right w:val="none" w:sz="0" w:space="0" w:color="auto"/>
          </w:divBdr>
        </w:div>
        <w:div w:id="1764648418">
          <w:marLeft w:val="0"/>
          <w:marRight w:val="0"/>
          <w:marTop w:val="0"/>
          <w:marBottom w:val="0"/>
          <w:divBdr>
            <w:top w:val="none" w:sz="0" w:space="0" w:color="auto"/>
            <w:left w:val="none" w:sz="0" w:space="0" w:color="auto"/>
            <w:bottom w:val="none" w:sz="0" w:space="0" w:color="auto"/>
            <w:right w:val="none" w:sz="0" w:space="0" w:color="auto"/>
          </w:divBdr>
        </w:div>
        <w:div w:id="1814835721">
          <w:marLeft w:val="0"/>
          <w:marRight w:val="0"/>
          <w:marTop w:val="0"/>
          <w:marBottom w:val="0"/>
          <w:divBdr>
            <w:top w:val="none" w:sz="0" w:space="0" w:color="auto"/>
            <w:left w:val="none" w:sz="0" w:space="0" w:color="auto"/>
            <w:bottom w:val="none" w:sz="0" w:space="0" w:color="auto"/>
            <w:right w:val="none" w:sz="0" w:space="0" w:color="auto"/>
          </w:divBdr>
        </w:div>
        <w:div w:id="1877809792">
          <w:marLeft w:val="0"/>
          <w:marRight w:val="0"/>
          <w:marTop w:val="0"/>
          <w:marBottom w:val="0"/>
          <w:divBdr>
            <w:top w:val="none" w:sz="0" w:space="0" w:color="auto"/>
            <w:left w:val="none" w:sz="0" w:space="0" w:color="auto"/>
            <w:bottom w:val="none" w:sz="0" w:space="0" w:color="auto"/>
            <w:right w:val="none" w:sz="0" w:space="0" w:color="auto"/>
          </w:divBdr>
        </w:div>
        <w:div w:id="1991591257">
          <w:marLeft w:val="0"/>
          <w:marRight w:val="0"/>
          <w:marTop w:val="0"/>
          <w:marBottom w:val="0"/>
          <w:divBdr>
            <w:top w:val="none" w:sz="0" w:space="0" w:color="auto"/>
            <w:left w:val="none" w:sz="0" w:space="0" w:color="auto"/>
            <w:bottom w:val="none" w:sz="0" w:space="0" w:color="auto"/>
            <w:right w:val="none" w:sz="0" w:space="0" w:color="auto"/>
          </w:divBdr>
        </w:div>
        <w:div w:id="2030718424">
          <w:marLeft w:val="0"/>
          <w:marRight w:val="0"/>
          <w:marTop w:val="0"/>
          <w:marBottom w:val="0"/>
          <w:divBdr>
            <w:top w:val="none" w:sz="0" w:space="0" w:color="auto"/>
            <w:left w:val="none" w:sz="0" w:space="0" w:color="auto"/>
            <w:bottom w:val="none" w:sz="0" w:space="0" w:color="auto"/>
            <w:right w:val="none" w:sz="0" w:space="0" w:color="auto"/>
          </w:divBdr>
        </w:div>
        <w:div w:id="2057775486">
          <w:marLeft w:val="0"/>
          <w:marRight w:val="0"/>
          <w:marTop w:val="0"/>
          <w:marBottom w:val="0"/>
          <w:divBdr>
            <w:top w:val="none" w:sz="0" w:space="0" w:color="auto"/>
            <w:left w:val="none" w:sz="0" w:space="0" w:color="auto"/>
            <w:bottom w:val="none" w:sz="0" w:space="0" w:color="auto"/>
            <w:right w:val="none" w:sz="0" w:space="0" w:color="auto"/>
          </w:divBdr>
        </w:div>
        <w:div w:id="2069692672">
          <w:marLeft w:val="0"/>
          <w:marRight w:val="0"/>
          <w:marTop w:val="0"/>
          <w:marBottom w:val="0"/>
          <w:divBdr>
            <w:top w:val="none" w:sz="0" w:space="0" w:color="auto"/>
            <w:left w:val="none" w:sz="0" w:space="0" w:color="auto"/>
            <w:bottom w:val="none" w:sz="0" w:space="0" w:color="auto"/>
            <w:right w:val="none" w:sz="0" w:space="0" w:color="auto"/>
          </w:divBdr>
        </w:div>
        <w:div w:id="2073918142">
          <w:marLeft w:val="0"/>
          <w:marRight w:val="0"/>
          <w:marTop w:val="0"/>
          <w:marBottom w:val="0"/>
          <w:divBdr>
            <w:top w:val="none" w:sz="0" w:space="0" w:color="auto"/>
            <w:left w:val="none" w:sz="0" w:space="0" w:color="auto"/>
            <w:bottom w:val="none" w:sz="0" w:space="0" w:color="auto"/>
            <w:right w:val="none" w:sz="0" w:space="0" w:color="auto"/>
          </w:divBdr>
        </w:div>
        <w:div w:id="2077775478">
          <w:marLeft w:val="0"/>
          <w:marRight w:val="0"/>
          <w:marTop w:val="0"/>
          <w:marBottom w:val="0"/>
          <w:divBdr>
            <w:top w:val="none" w:sz="0" w:space="0" w:color="auto"/>
            <w:left w:val="none" w:sz="0" w:space="0" w:color="auto"/>
            <w:bottom w:val="none" w:sz="0" w:space="0" w:color="auto"/>
            <w:right w:val="none" w:sz="0" w:space="0" w:color="auto"/>
          </w:divBdr>
        </w:div>
      </w:divsChild>
    </w:div>
    <w:div w:id="1766923876">
      <w:bodyDiv w:val="1"/>
      <w:marLeft w:val="0"/>
      <w:marRight w:val="0"/>
      <w:marTop w:val="0"/>
      <w:marBottom w:val="0"/>
      <w:divBdr>
        <w:top w:val="none" w:sz="0" w:space="0" w:color="auto"/>
        <w:left w:val="none" w:sz="0" w:space="0" w:color="auto"/>
        <w:bottom w:val="none" w:sz="0" w:space="0" w:color="auto"/>
        <w:right w:val="none" w:sz="0" w:space="0" w:color="auto"/>
      </w:divBdr>
    </w:div>
    <w:div w:id="1862931211">
      <w:bodyDiv w:val="1"/>
      <w:marLeft w:val="0"/>
      <w:marRight w:val="0"/>
      <w:marTop w:val="0"/>
      <w:marBottom w:val="0"/>
      <w:divBdr>
        <w:top w:val="none" w:sz="0" w:space="0" w:color="auto"/>
        <w:left w:val="none" w:sz="0" w:space="0" w:color="auto"/>
        <w:bottom w:val="none" w:sz="0" w:space="0" w:color="auto"/>
        <w:right w:val="none" w:sz="0" w:space="0" w:color="auto"/>
      </w:divBdr>
    </w:div>
    <w:div w:id="1871721604">
      <w:bodyDiv w:val="1"/>
      <w:marLeft w:val="0"/>
      <w:marRight w:val="0"/>
      <w:marTop w:val="0"/>
      <w:marBottom w:val="0"/>
      <w:divBdr>
        <w:top w:val="none" w:sz="0" w:space="0" w:color="auto"/>
        <w:left w:val="none" w:sz="0" w:space="0" w:color="auto"/>
        <w:bottom w:val="none" w:sz="0" w:space="0" w:color="auto"/>
        <w:right w:val="none" w:sz="0" w:space="0" w:color="auto"/>
      </w:divBdr>
      <w:divsChild>
        <w:div w:id="96296996">
          <w:marLeft w:val="0"/>
          <w:marRight w:val="0"/>
          <w:marTop w:val="0"/>
          <w:marBottom w:val="0"/>
          <w:divBdr>
            <w:top w:val="none" w:sz="0" w:space="0" w:color="auto"/>
            <w:left w:val="none" w:sz="0" w:space="0" w:color="auto"/>
            <w:bottom w:val="none" w:sz="0" w:space="0" w:color="auto"/>
            <w:right w:val="none" w:sz="0" w:space="0" w:color="auto"/>
          </w:divBdr>
        </w:div>
        <w:div w:id="101457159">
          <w:marLeft w:val="0"/>
          <w:marRight w:val="0"/>
          <w:marTop w:val="0"/>
          <w:marBottom w:val="0"/>
          <w:divBdr>
            <w:top w:val="none" w:sz="0" w:space="0" w:color="auto"/>
            <w:left w:val="none" w:sz="0" w:space="0" w:color="auto"/>
            <w:bottom w:val="none" w:sz="0" w:space="0" w:color="auto"/>
            <w:right w:val="none" w:sz="0" w:space="0" w:color="auto"/>
          </w:divBdr>
        </w:div>
        <w:div w:id="162622484">
          <w:marLeft w:val="0"/>
          <w:marRight w:val="0"/>
          <w:marTop w:val="0"/>
          <w:marBottom w:val="0"/>
          <w:divBdr>
            <w:top w:val="none" w:sz="0" w:space="0" w:color="auto"/>
            <w:left w:val="none" w:sz="0" w:space="0" w:color="auto"/>
            <w:bottom w:val="none" w:sz="0" w:space="0" w:color="auto"/>
            <w:right w:val="none" w:sz="0" w:space="0" w:color="auto"/>
          </w:divBdr>
        </w:div>
        <w:div w:id="201527509">
          <w:marLeft w:val="0"/>
          <w:marRight w:val="0"/>
          <w:marTop w:val="0"/>
          <w:marBottom w:val="0"/>
          <w:divBdr>
            <w:top w:val="none" w:sz="0" w:space="0" w:color="auto"/>
            <w:left w:val="none" w:sz="0" w:space="0" w:color="auto"/>
            <w:bottom w:val="none" w:sz="0" w:space="0" w:color="auto"/>
            <w:right w:val="none" w:sz="0" w:space="0" w:color="auto"/>
          </w:divBdr>
        </w:div>
        <w:div w:id="210775004">
          <w:marLeft w:val="0"/>
          <w:marRight w:val="0"/>
          <w:marTop w:val="0"/>
          <w:marBottom w:val="0"/>
          <w:divBdr>
            <w:top w:val="none" w:sz="0" w:space="0" w:color="auto"/>
            <w:left w:val="none" w:sz="0" w:space="0" w:color="auto"/>
            <w:bottom w:val="none" w:sz="0" w:space="0" w:color="auto"/>
            <w:right w:val="none" w:sz="0" w:space="0" w:color="auto"/>
          </w:divBdr>
        </w:div>
        <w:div w:id="222061825">
          <w:marLeft w:val="0"/>
          <w:marRight w:val="0"/>
          <w:marTop w:val="0"/>
          <w:marBottom w:val="0"/>
          <w:divBdr>
            <w:top w:val="none" w:sz="0" w:space="0" w:color="auto"/>
            <w:left w:val="none" w:sz="0" w:space="0" w:color="auto"/>
            <w:bottom w:val="none" w:sz="0" w:space="0" w:color="auto"/>
            <w:right w:val="none" w:sz="0" w:space="0" w:color="auto"/>
          </w:divBdr>
        </w:div>
        <w:div w:id="237789425">
          <w:marLeft w:val="0"/>
          <w:marRight w:val="0"/>
          <w:marTop w:val="0"/>
          <w:marBottom w:val="0"/>
          <w:divBdr>
            <w:top w:val="none" w:sz="0" w:space="0" w:color="auto"/>
            <w:left w:val="none" w:sz="0" w:space="0" w:color="auto"/>
            <w:bottom w:val="none" w:sz="0" w:space="0" w:color="auto"/>
            <w:right w:val="none" w:sz="0" w:space="0" w:color="auto"/>
          </w:divBdr>
        </w:div>
        <w:div w:id="302009632">
          <w:marLeft w:val="0"/>
          <w:marRight w:val="0"/>
          <w:marTop w:val="0"/>
          <w:marBottom w:val="0"/>
          <w:divBdr>
            <w:top w:val="none" w:sz="0" w:space="0" w:color="auto"/>
            <w:left w:val="none" w:sz="0" w:space="0" w:color="auto"/>
            <w:bottom w:val="none" w:sz="0" w:space="0" w:color="auto"/>
            <w:right w:val="none" w:sz="0" w:space="0" w:color="auto"/>
          </w:divBdr>
        </w:div>
        <w:div w:id="355694185">
          <w:marLeft w:val="0"/>
          <w:marRight w:val="0"/>
          <w:marTop w:val="0"/>
          <w:marBottom w:val="0"/>
          <w:divBdr>
            <w:top w:val="none" w:sz="0" w:space="0" w:color="auto"/>
            <w:left w:val="none" w:sz="0" w:space="0" w:color="auto"/>
            <w:bottom w:val="none" w:sz="0" w:space="0" w:color="auto"/>
            <w:right w:val="none" w:sz="0" w:space="0" w:color="auto"/>
          </w:divBdr>
        </w:div>
        <w:div w:id="561523211">
          <w:marLeft w:val="0"/>
          <w:marRight w:val="0"/>
          <w:marTop w:val="0"/>
          <w:marBottom w:val="0"/>
          <w:divBdr>
            <w:top w:val="none" w:sz="0" w:space="0" w:color="auto"/>
            <w:left w:val="none" w:sz="0" w:space="0" w:color="auto"/>
            <w:bottom w:val="none" w:sz="0" w:space="0" w:color="auto"/>
            <w:right w:val="none" w:sz="0" w:space="0" w:color="auto"/>
          </w:divBdr>
        </w:div>
        <w:div w:id="620066794">
          <w:marLeft w:val="0"/>
          <w:marRight w:val="0"/>
          <w:marTop w:val="0"/>
          <w:marBottom w:val="0"/>
          <w:divBdr>
            <w:top w:val="none" w:sz="0" w:space="0" w:color="auto"/>
            <w:left w:val="none" w:sz="0" w:space="0" w:color="auto"/>
            <w:bottom w:val="none" w:sz="0" w:space="0" w:color="auto"/>
            <w:right w:val="none" w:sz="0" w:space="0" w:color="auto"/>
          </w:divBdr>
        </w:div>
        <w:div w:id="681858186">
          <w:marLeft w:val="0"/>
          <w:marRight w:val="0"/>
          <w:marTop w:val="0"/>
          <w:marBottom w:val="0"/>
          <w:divBdr>
            <w:top w:val="none" w:sz="0" w:space="0" w:color="auto"/>
            <w:left w:val="none" w:sz="0" w:space="0" w:color="auto"/>
            <w:bottom w:val="none" w:sz="0" w:space="0" w:color="auto"/>
            <w:right w:val="none" w:sz="0" w:space="0" w:color="auto"/>
          </w:divBdr>
        </w:div>
        <w:div w:id="692263845">
          <w:marLeft w:val="0"/>
          <w:marRight w:val="0"/>
          <w:marTop w:val="0"/>
          <w:marBottom w:val="0"/>
          <w:divBdr>
            <w:top w:val="none" w:sz="0" w:space="0" w:color="auto"/>
            <w:left w:val="none" w:sz="0" w:space="0" w:color="auto"/>
            <w:bottom w:val="none" w:sz="0" w:space="0" w:color="auto"/>
            <w:right w:val="none" w:sz="0" w:space="0" w:color="auto"/>
          </w:divBdr>
        </w:div>
        <w:div w:id="731007858">
          <w:marLeft w:val="0"/>
          <w:marRight w:val="0"/>
          <w:marTop w:val="0"/>
          <w:marBottom w:val="0"/>
          <w:divBdr>
            <w:top w:val="none" w:sz="0" w:space="0" w:color="auto"/>
            <w:left w:val="none" w:sz="0" w:space="0" w:color="auto"/>
            <w:bottom w:val="none" w:sz="0" w:space="0" w:color="auto"/>
            <w:right w:val="none" w:sz="0" w:space="0" w:color="auto"/>
          </w:divBdr>
        </w:div>
        <w:div w:id="833838245">
          <w:marLeft w:val="0"/>
          <w:marRight w:val="0"/>
          <w:marTop w:val="0"/>
          <w:marBottom w:val="0"/>
          <w:divBdr>
            <w:top w:val="none" w:sz="0" w:space="0" w:color="auto"/>
            <w:left w:val="none" w:sz="0" w:space="0" w:color="auto"/>
            <w:bottom w:val="none" w:sz="0" w:space="0" w:color="auto"/>
            <w:right w:val="none" w:sz="0" w:space="0" w:color="auto"/>
          </w:divBdr>
        </w:div>
        <w:div w:id="843011073">
          <w:marLeft w:val="0"/>
          <w:marRight w:val="0"/>
          <w:marTop w:val="0"/>
          <w:marBottom w:val="0"/>
          <w:divBdr>
            <w:top w:val="none" w:sz="0" w:space="0" w:color="auto"/>
            <w:left w:val="none" w:sz="0" w:space="0" w:color="auto"/>
            <w:bottom w:val="none" w:sz="0" w:space="0" w:color="auto"/>
            <w:right w:val="none" w:sz="0" w:space="0" w:color="auto"/>
          </w:divBdr>
        </w:div>
        <w:div w:id="895698194">
          <w:marLeft w:val="0"/>
          <w:marRight w:val="0"/>
          <w:marTop w:val="0"/>
          <w:marBottom w:val="0"/>
          <w:divBdr>
            <w:top w:val="none" w:sz="0" w:space="0" w:color="auto"/>
            <w:left w:val="none" w:sz="0" w:space="0" w:color="auto"/>
            <w:bottom w:val="none" w:sz="0" w:space="0" w:color="auto"/>
            <w:right w:val="none" w:sz="0" w:space="0" w:color="auto"/>
          </w:divBdr>
        </w:div>
        <w:div w:id="898437024">
          <w:marLeft w:val="0"/>
          <w:marRight w:val="0"/>
          <w:marTop w:val="0"/>
          <w:marBottom w:val="0"/>
          <w:divBdr>
            <w:top w:val="none" w:sz="0" w:space="0" w:color="auto"/>
            <w:left w:val="none" w:sz="0" w:space="0" w:color="auto"/>
            <w:bottom w:val="none" w:sz="0" w:space="0" w:color="auto"/>
            <w:right w:val="none" w:sz="0" w:space="0" w:color="auto"/>
          </w:divBdr>
        </w:div>
        <w:div w:id="908467629">
          <w:marLeft w:val="0"/>
          <w:marRight w:val="0"/>
          <w:marTop w:val="0"/>
          <w:marBottom w:val="0"/>
          <w:divBdr>
            <w:top w:val="none" w:sz="0" w:space="0" w:color="auto"/>
            <w:left w:val="none" w:sz="0" w:space="0" w:color="auto"/>
            <w:bottom w:val="none" w:sz="0" w:space="0" w:color="auto"/>
            <w:right w:val="none" w:sz="0" w:space="0" w:color="auto"/>
          </w:divBdr>
        </w:div>
        <w:div w:id="926231490">
          <w:marLeft w:val="0"/>
          <w:marRight w:val="0"/>
          <w:marTop w:val="0"/>
          <w:marBottom w:val="0"/>
          <w:divBdr>
            <w:top w:val="none" w:sz="0" w:space="0" w:color="auto"/>
            <w:left w:val="none" w:sz="0" w:space="0" w:color="auto"/>
            <w:bottom w:val="none" w:sz="0" w:space="0" w:color="auto"/>
            <w:right w:val="none" w:sz="0" w:space="0" w:color="auto"/>
          </w:divBdr>
        </w:div>
        <w:div w:id="933128570">
          <w:marLeft w:val="0"/>
          <w:marRight w:val="0"/>
          <w:marTop w:val="0"/>
          <w:marBottom w:val="0"/>
          <w:divBdr>
            <w:top w:val="none" w:sz="0" w:space="0" w:color="auto"/>
            <w:left w:val="none" w:sz="0" w:space="0" w:color="auto"/>
            <w:bottom w:val="none" w:sz="0" w:space="0" w:color="auto"/>
            <w:right w:val="none" w:sz="0" w:space="0" w:color="auto"/>
          </w:divBdr>
        </w:div>
        <w:div w:id="1031687028">
          <w:marLeft w:val="0"/>
          <w:marRight w:val="0"/>
          <w:marTop w:val="0"/>
          <w:marBottom w:val="0"/>
          <w:divBdr>
            <w:top w:val="none" w:sz="0" w:space="0" w:color="auto"/>
            <w:left w:val="none" w:sz="0" w:space="0" w:color="auto"/>
            <w:bottom w:val="none" w:sz="0" w:space="0" w:color="auto"/>
            <w:right w:val="none" w:sz="0" w:space="0" w:color="auto"/>
          </w:divBdr>
        </w:div>
        <w:div w:id="1077094512">
          <w:marLeft w:val="0"/>
          <w:marRight w:val="0"/>
          <w:marTop w:val="0"/>
          <w:marBottom w:val="0"/>
          <w:divBdr>
            <w:top w:val="none" w:sz="0" w:space="0" w:color="auto"/>
            <w:left w:val="none" w:sz="0" w:space="0" w:color="auto"/>
            <w:bottom w:val="none" w:sz="0" w:space="0" w:color="auto"/>
            <w:right w:val="none" w:sz="0" w:space="0" w:color="auto"/>
          </w:divBdr>
        </w:div>
        <w:div w:id="1127045306">
          <w:marLeft w:val="0"/>
          <w:marRight w:val="0"/>
          <w:marTop w:val="0"/>
          <w:marBottom w:val="0"/>
          <w:divBdr>
            <w:top w:val="none" w:sz="0" w:space="0" w:color="auto"/>
            <w:left w:val="none" w:sz="0" w:space="0" w:color="auto"/>
            <w:bottom w:val="none" w:sz="0" w:space="0" w:color="auto"/>
            <w:right w:val="none" w:sz="0" w:space="0" w:color="auto"/>
          </w:divBdr>
        </w:div>
        <w:div w:id="1174152137">
          <w:marLeft w:val="0"/>
          <w:marRight w:val="0"/>
          <w:marTop w:val="0"/>
          <w:marBottom w:val="0"/>
          <w:divBdr>
            <w:top w:val="none" w:sz="0" w:space="0" w:color="auto"/>
            <w:left w:val="none" w:sz="0" w:space="0" w:color="auto"/>
            <w:bottom w:val="none" w:sz="0" w:space="0" w:color="auto"/>
            <w:right w:val="none" w:sz="0" w:space="0" w:color="auto"/>
          </w:divBdr>
        </w:div>
        <w:div w:id="1187602432">
          <w:marLeft w:val="0"/>
          <w:marRight w:val="0"/>
          <w:marTop w:val="0"/>
          <w:marBottom w:val="0"/>
          <w:divBdr>
            <w:top w:val="none" w:sz="0" w:space="0" w:color="auto"/>
            <w:left w:val="none" w:sz="0" w:space="0" w:color="auto"/>
            <w:bottom w:val="none" w:sz="0" w:space="0" w:color="auto"/>
            <w:right w:val="none" w:sz="0" w:space="0" w:color="auto"/>
          </w:divBdr>
        </w:div>
        <w:div w:id="1212769705">
          <w:marLeft w:val="0"/>
          <w:marRight w:val="0"/>
          <w:marTop w:val="0"/>
          <w:marBottom w:val="0"/>
          <w:divBdr>
            <w:top w:val="none" w:sz="0" w:space="0" w:color="auto"/>
            <w:left w:val="none" w:sz="0" w:space="0" w:color="auto"/>
            <w:bottom w:val="none" w:sz="0" w:space="0" w:color="auto"/>
            <w:right w:val="none" w:sz="0" w:space="0" w:color="auto"/>
          </w:divBdr>
        </w:div>
        <w:div w:id="1295714803">
          <w:marLeft w:val="0"/>
          <w:marRight w:val="0"/>
          <w:marTop w:val="0"/>
          <w:marBottom w:val="0"/>
          <w:divBdr>
            <w:top w:val="none" w:sz="0" w:space="0" w:color="auto"/>
            <w:left w:val="none" w:sz="0" w:space="0" w:color="auto"/>
            <w:bottom w:val="none" w:sz="0" w:space="0" w:color="auto"/>
            <w:right w:val="none" w:sz="0" w:space="0" w:color="auto"/>
          </w:divBdr>
        </w:div>
        <w:div w:id="1339115426">
          <w:marLeft w:val="0"/>
          <w:marRight w:val="0"/>
          <w:marTop w:val="0"/>
          <w:marBottom w:val="0"/>
          <w:divBdr>
            <w:top w:val="none" w:sz="0" w:space="0" w:color="auto"/>
            <w:left w:val="none" w:sz="0" w:space="0" w:color="auto"/>
            <w:bottom w:val="none" w:sz="0" w:space="0" w:color="auto"/>
            <w:right w:val="none" w:sz="0" w:space="0" w:color="auto"/>
          </w:divBdr>
        </w:div>
        <w:div w:id="1342439832">
          <w:marLeft w:val="0"/>
          <w:marRight w:val="0"/>
          <w:marTop w:val="0"/>
          <w:marBottom w:val="0"/>
          <w:divBdr>
            <w:top w:val="none" w:sz="0" w:space="0" w:color="auto"/>
            <w:left w:val="none" w:sz="0" w:space="0" w:color="auto"/>
            <w:bottom w:val="none" w:sz="0" w:space="0" w:color="auto"/>
            <w:right w:val="none" w:sz="0" w:space="0" w:color="auto"/>
          </w:divBdr>
        </w:div>
        <w:div w:id="1449348537">
          <w:marLeft w:val="0"/>
          <w:marRight w:val="0"/>
          <w:marTop w:val="0"/>
          <w:marBottom w:val="0"/>
          <w:divBdr>
            <w:top w:val="none" w:sz="0" w:space="0" w:color="auto"/>
            <w:left w:val="none" w:sz="0" w:space="0" w:color="auto"/>
            <w:bottom w:val="none" w:sz="0" w:space="0" w:color="auto"/>
            <w:right w:val="none" w:sz="0" w:space="0" w:color="auto"/>
          </w:divBdr>
        </w:div>
        <w:div w:id="1450853375">
          <w:marLeft w:val="0"/>
          <w:marRight w:val="0"/>
          <w:marTop w:val="0"/>
          <w:marBottom w:val="0"/>
          <w:divBdr>
            <w:top w:val="none" w:sz="0" w:space="0" w:color="auto"/>
            <w:left w:val="none" w:sz="0" w:space="0" w:color="auto"/>
            <w:bottom w:val="none" w:sz="0" w:space="0" w:color="auto"/>
            <w:right w:val="none" w:sz="0" w:space="0" w:color="auto"/>
          </w:divBdr>
        </w:div>
        <w:div w:id="1481730294">
          <w:marLeft w:val="0"/>
          <w:marRight w:val="0"/>
          <w:marTop w:val="0"/>
          <w:marBottom w:val="0"/>
          <w:divBdr>
            <w:top w:val="none" w:sz="0" w:space="0" w:color="auto"/>
            <w:left w:val="none" w:sz="0" w:space="0" w:color="auto"/>
            <w:bottom w:val="none" w:sz="0" w:space="0" w:color="auto"/>
            <w:right w:val="none" w:sz="0" w:space="0" w:color="auto"/>
          </w:divBdr>
        </w:div>
        <w:div w:id="1539857889">
          <w:marLeft w:val="0"/>
          <w:marRight w:val="0"/>
          <w:marTop w:val="0"/>
          <w:marBottom w:val="0"/>
          <w:divBdr>
            <w:top w:val="none" w:sz="0" w:space="0" w:color="auto"/>
            <w:left w:val="none" w:sz="0" w:space="0" w:color="auto"/>
            <w:bottom w:val="none" w:sz="0" w:space="0" w:color="auto"/>
            <w:right w:val="none" w:sz="0" w:space="0" w:color="auto"/>
          </w:divBdr>
        </w:div>
        <w:div w:id="1583486106">
          <w:marLeft w:val="0"/>
          <w:marRight w:val="0"/>
          <w:marTop w:val="0"/>
          <w:marBottom w:val="0"/>
          <w:divBdr>
            <w:top w:val="none" w:sz="0" w:space="0" w:color="auto"/>
            <w:left w:val="none" w:sz="0" w:space="0" w:color="auto"/>
            <w:bottom w:val="none" w:sz="0" w:space="0" w:color="auto"/>
            <w:right w:val="none" w:sz="0" w:space="0" w:color="auto"/>
          </w:divBdr>
        </w:div>
        <w:div w:id="1628657702">
          <w:marLeft w:val="0"/>
          <w:marRight w:val="0"/>
          <w:marTop w:val="0"/>
          <w:marBottom w:val="0"/>
          <w:divBdr>
            <w:top w:val="none" w:sz="0" w:space="0" w:color="auto"/>
            <w:left w:val="none" w:sz="0" w:space="0" w:color="auto"/>
            <w:bottom w:val="none" w:sz="0" w:space="0" w:color="auto"/>
            <w:right w:val="none" w:sz="0" w:space="0" w:color="auto"/>
          </w:divBdr>
        </w:div>
        <w:div w:id="1640184884">
          <w:marLeft w:val="0"/>
          <w:marRight w:val="0"/>
          <w:marTop w:val="0"/>
          <w:marBottom w:val="0"/>
          <w:divBdr>
            <w:top w:val="none" w:sz="0" w:space="0" w:color="auto"/>
            <w:left w:val="none" w:sz="0" w:space="0" w:color="auto"/>
            <w:bottom w:val="none" w:sz="0" w:space="0" w:color="auto"/>
            <w:right w:val="none" w:sz="0" w:space="0" w:color="auto"/>
          </w:divBdr>
        </w:div>
        <w:div w:id="1696342657">
          <w:marLeft w:val="0"/>
          <w:marRight w:val="0"/>
          <w:marTop w:val="0"/>
          <w:marBottom w:val="0"/>
          <w:divBdr>
            <w:top w:val="none" w:sz="0" w:space="0" w:color="auto"/>
            <w:left w:val="none" w:sz="0" w:space="0" w:color="auto"/>
            <w:bottom w:val="none" w:sz="0" w:space="0" w:color="auto"/>
            <w:right w:val="none" w:sz="0" w:space="0" w:color="auto"/>
          </w:divBdr>
        </w:div>
        <w:div w:id="1827630648">
          <w:marLeft w:val="0"/>
          <w:marRight w:val="0"/>
          <w:marTop w:val="0"/>
          <w:marBottom w:val="0"/>
          <w:divBdr>
            <w:top w:val="none" w:sz="0" w:space="0" w:color="auto"/>
            <w:left w:val="none" w:sz="0" w:space="0" w:color="auto"/>
            <w:bottom w:val="none" w:sz="0" w:space="0" w:color="auto"/>
            <w:right w:val="none" w:sz="0" w:space="0" w:color="auto"/>
          </w:divBdr>
        </w:div>
        <w:div w:id="1862159185">
          <w:marLeft w:val="0"/>
          <w:marRight w:val="0"/>
          <w:marTop w:val="0"/>
          <w:marBottom w:val="0"/>
          <w:divBdr>
            <w:top w:val="none" w:sz="0" w:space="0" w:color="auto"/>
            <w:left w:val="none" w:sz="0" w:space="0" w:color="auto"/>
            <w:bottom w:val="none" w:sz="0" w:space="0" w:color="auto"/>
            <w:right w:val="none" w:sz="0" w:space="0" w:color="auto"/>
          </w:divBdr>
        </w:div>
        <w:div w:id="1876841697">
          <w:marLeft w:val="0"/>
          <w:marRight w:val="0"/>
          <w:marTop w:val="0"/>
          <w:marBottom w:val="0"/>
          <w:divBdr>
            <w:top w:val="none" w:sz="0" w:space="0" w:color="auto"/>
            <w:left w:val="none" w:sz="0" w:space="0" w:color="auto"/>
            <w:bottom w:val="none" w:sz="0" w:space="0" w:color="auto"/>
            <w:right w:val="none" w:sz="0" w:space="0" w:color="auto"/>
          </w:divBdr>
        </w:div>
        <w:div w:id="1944144002">
          <w:marLeft w:val="0"/>
          <w:marRight w:val="0"/>
          <w:marTop w:val="0"/>
          <w:marBottom w:val="0"/>
          <w:divBdr>
            <w:top w:val="none" w:sz="0" w:space="0" w:color="auto"/>
            <w:left w:val="none" w:sz="0" w:space="0" w:color="auto"/>
            <w:bottom w:val="none" w:sz="0" w:space="0" w:color="auto"/>
            <w:right w:val="none" w:sz="0" w:space="0" w:color="auto"/>
          </w:divBdr>
        </w:div>
        <w:div w:id="1982690351">
          <w:marLeft w:val="0"/>
          <w:marRight w:val="0"/>
          <w:marTop w:val="0"/>
          <w:marBottom w:val="0"/>
          <w:divBdr>
            <w:top w:val="none" w:sz="0" w:space="0" w:color="auto"/>
            <w:left w:val="none" w:sz="0" w:space="0" w:color="auto"/>
            <w:bottom w:val="none" w:sz="0" w:space="0" w:color="auto"/>
            <w:right w:val="none" w:sz="0" w:space="0" w:color="auto"/>
          </w:divBdr>
        </w:div>
        <w:div w:id="2037197097">
          <w:marLeft w:val="0"/>
          <w:marRight w:val="0"/>
          <w:marTop w:val="0"/>
          <w:marBottom w:val="0"/>
          <w:divBdr>
            <w:top w:val="none" w:sz="0" w:space="0" w:color="auto"/>
            <w:left w:val="none" w:sz="0" w:space="0" w:color="auto"/>
            <w:bottom w:val="none" w:sz="0" w:space="0" w:color="auto"/>
            <w:right w:val="none" w:sz="0" w:space="0" w:color="auto"/>
          </w:divBdr>
        </w:div>
        <w:div w:id="2048723497">
          <w:marLeft w:val="0"/>
          <w:marRight w:val="0"/>
          <w:marTop w:val="0"/>
          <w:marBottom w:val="0"/>
          <w:divBdr>
            <w:top w:val="none" w:sz="0" w:space="0" w:color="auto"/>
            <w:left w:val="none" w:sz="0" w:space="0" w:color="auto"/>
            <w:bottom w:val="none" w:sz="0" w:space="0" w:color="auto"/>
            <w:right w:val="none" w:sz="0" w:space="0" w:color="auto"/>
          </w:divBdr>
        </w:div>
        <w:div w:id="2117481063">
          <w:marLeft w:val="0"/>
          <w:marRight w:val="0"/>
          <w:marTop w:val="0"/>
          <w:marBottom w:val="0"/>
          <w:divBdr>
            <w:top w:val="none" w:sz="0" w:space="0" w:color="auto"/>
            <w:left w:val="none" w:sz="0" w:space="0" w:color="auto"/>
            <w:bottom w:val="none" w:sz="0" w:space="0" w:color="auto"/>
            <w:right w:val="none" w:sz="0" w:space="0" w:color="auto"/>
          </w:divBdr>
        </w:div>
        <w:div w:id="2122261745">
          <w:marLeft w:val="0"/>
          <w:marRight w:val="0"/>
          <w:marTop w:val="0"/>
          <w:marBottom w:val="0"/>
          <w:divBdr>
            <w:top w:val="none" w:sz="0" w:space="0" w:color="auto"/>
            <w:left w:val="none" w:sz="0" w:space="0" w:color="auto"/>
            <w:bottom w:val="none" w:sz="0" w:space="0" w:color="auto"/>
            <w:right w:val="none" w:sz="0" w:space="0" w:color="auto"/>
          </w:divBdr>
        </w:div>
      </w:divsChild>
    </w:div>
    <w:div w:id="1873029662">
      <w:bodyDiv w:val="1"/>
      <w:marLeft w:val="0"/>
      <w:marRight w:val="0"/>
      <w:marTop w:val="0"/>
      <w:marBottom w:val="0"/>
      <w:divBdr>
        <w:top w:val="none" w:sz="0" w:space="0" w:color="auto"/>
        <w:left w:val="none" w:sz="0" w:space="0" w:color="auto"/>
        <w:bottom w:val="none" w:sz="0" w:space="0" w:color="auto"/>
        <w:right w:val="none" w:sz="0" w:space="0" w:color="auto"/>
      </w:divBdr>
      <w:divsChild>
        <w:div w:id="67657104">
          <w:marLeft w:val="0"/>
          <w:marRight w:val="0"/>
          <w:marTop w:val="0"/>
          <w:marBottom w:val="0"/>
          <w:divBdr>
            <w:top w:val="none" w:sz="0" w:space="0" w:color="auto"/>
            <w:left w:val="none" w:sz="0" w:space="0" w:color="auto"/>
            <w:bottom w:val="none" w:sz="0" w:space="0" w:color="auto"/>
            <w:right w:val="none" w:sz="0" w:space="0" w:color="auto"/>
          </w:divBdr>
        </w:div>
        <w:div w:id="68424989">
          <w:marLeft w:val="0"/>
          <w:marRight w:val="0"/>
          <w:marTop w:val="0"/>
          <w:marBottom w:val="0"/>
          <w:divBdr>
            <w:top w:val="none" w:sz="0" w:space="0" w:color="auto"/>
            <w:left w:val="none" w:sz="0" w:space="0" w:color="auto"/>
            <w:bottom w:val="none" w:sz="0" w:space="0" w:color="auto"/>
            <w:right w:val="none" w:sz="0" w:space="0" w:color="auto"/>
          </w:divBdr>
        </w:div>
        <w:div w:id="92014541">
          <w:marLeft w:val="0"/>
          <w:marRight w:val="0"/>
          <w:marTop w:val="0"/>
          <w:marBottom w:val="0"/>
          <w:divBdr>
            <w:top w:val="none" w:sz="0" w:space="0" w:color="auto"/>
            <w:left w:val="none" w:sz="0" w:space="0" w:color="auto"/>
            <w:bottom w:val="none" w:sz="0" w:space="0" w:color="auto"/>
            <w:right w:val="none" w:sz="0" w:space="0" w:color="auto"/>
          </w:divBdr>
        </w:div>
        <w:div w:id="132187669">
          <w:marLeft w:val="0"/>
          <w:marRight w:val="0"/>
          <w:marTop w:val="0"/>
          <w:marBottom w:val="0"/>
          <w:divBdr>
            <w:top w:val="none" w:sz="0" w:space="0" w:color="auto"/>
            <w:left w:val="none" w:sz="0" w:space="0" w:color="auto"/>
            <w:bottom w:val="none" w:sz="0" w:space="0" w:color="auto"/>
            <w:right w:val="none" w:sz="0" w:space="0" w:color="auto"/>
          </w:divBdr>
        </w:div>
        <w:div w:id="168952322">
          <w:marLeft w:val="0"/>
          <w:marRight w:val="0"/>
          <w:marTop w:val="0"/>
          <w:marBottom w:val="0"/>
          <w:divBdr>
            <w:top w:val="none" w:sz="0" w:space="0" w:color="auto"/>
            <w:left w:val="none" w:sz="0" w:space="0" w:color="auto"/>
            <w:bottom w:val="none" w:sz="0" w:space="0" w:color="auto"/>
            <w:right w:val="none" w:sz="0" w:space="0" w:color="auto"/>
          </w:divBdr>
        </w:div>
        <w:div w:id="169294657">
          <w:marLeft w:val="0"/>
          <w:marRight w:val="0"/>
          <w:marTop w:val="0"/>
          <w:marBottom w:val="0"/>
          <w:divBdr>
            <w:top w:val="none" w:sz="0" w:space="0" w:color="auto"/>
            <w:left w:val="none" w:sz="0" w:space="0" w:color="auto"/>
            <w:bottom w:val="none" w:sz="0" w:space="0" w:color="auto"/>
            <w:right w:val="none" w:sz="0" w:space="0" w:color="auto"/>
          </w:divBdr>
        </w:div>
        <w:div w:id="183523404">
          <w:marLeft w:val="0"/>
          <w:marRight w:val="0"/>
          <w:marTop w:val="0"/>
          <w:marBottom w:val="0"/>
          <w:divBdr>
            <w:top w:val="none" w:sz="0" w:space="0" w:color="auto"/>
            <w:left w:val="none" w:sz="0" w:space="0" w:color="auto"/>
            <w:bottom w:val="none" w:sz="0" w:space="0" w:color="auto"/>
            <w:right w:val="none" w:sz="0" w:space="0" w:color="auto"/>
          </w:divBdr>
        </w:div>
        <w:div w:id="210114907">
          <w:marLeft w:val="0"/>
          <w:marRight w:val="0"/>
          <w:marTop w:val="0"/>
          <w:marBottom w:val="0"/>
          <w:divBdr>
            <w:top w:val="none" w:sz="0" w:space="0" w:color="auto"/>
            <w:left w:val="none" w:sz="0" w:space="0" w:color="auto"/>
            <w:bottom w:val="none" w:sz="0" w:space="0" w:color="auto"/>
            <w:right w:val="none" w:sz="0" w:space="0" w:color="auto"/>
          </w:divBdr>
        </w:div>
        <w:div w:id="324481745">
          <w:marLeft w:val="0"/>
          <w:marRight w:val="0"/>
          <w:marTop w:val="0"/>
          <w:marBottom w:val="0"/>
          <w:divBdr>
            <w:top w:val="none" w:sz="0" w:space="0" w:color="auto"/>
            <w:left w:val="none" w:sz="0" w:space="0" w:color="auto"/>
            <w:bottom w:val="none" w:sz="0" w:space="0" w:color="auto"/>
            <w:right w:val="none" w:sz="0" w:space="0" w:color="auto"/>
          </w:divBdr>
        </w:div>
        <w:div w:id="324743224">
          <w:marLeft w:val="0"/>
          <w:marRight w:val="0"/>
          <w:marTop w:val="0"/>
          <w:marBottom w:val="0"/>
          <w:divBdr>
            <w:top w:val="none" w:sz="0" w:space="0" w:color="auto"/>
            <w:left w:val="none" w:sz="0" w:space="0" w:color="auto"/>
            <w:bottom w:val="none" w:sz="0" w:space="0" w:color="auto"/>
            <w:right w:val="none" w:sz="0" w:space="0" w:color="auto"/>
          </w:divBdr>
        </w:div>
        <w:div w:id="341782688">
          <w:marLeft w:val="0"/>
          <w:marRight w:val="0"/>
          <w:marTop w:val="0"/>
          <w:marBottom w:val="0"/>
          <w:divBdr>
            <w:top w:val="none" w:sz="0" w:space="0" w:color="auto"/>
            <w:left w:val="none" w:sz="0" w:space="0" w:color="auto"/>
            <w:bottom w:val="none" w:sz="0" w:space="0" w:color="auto"/>
            <w:right w:val="none" w:sz="0" w:space="0" w:color="auto"/>
          </w:divBdr>
        </w:div>
        <w:div w:id="417144364">
          <w:marLeft w:val="0"/>
          <w:marRight w:val="0"/>
          <w:marTop w:val="0"/>
          <w:marBottom w:val="0"/>
          <w:divBdr>
            <w:top w:val="none" w:sz="0" w:space="0" w:color="auto"/>
            <w:left w:val="none" w:sz="0" w:space="0" w:color="auto"/>
            <w:bottom w:val="none" w:sz="0" w:space="0" w:color="auto"/>
            <w:right w:val="none" w:sz="0" w:space="0" w:color="auto"/>
          </w:divBdr>
        </w:div>
        <w:div w:id="418067108">
          <w:marLeft w:val="0"/>
          <w:marRight w:val="0"/>
          <w:marTop w:val="0"/>
          <w:marBottom w:val="0"/>
          <w:divBdr>
            <w:top w:val="none" w:sz="0" w:space="0" w:color="auto"/>
            <w:left w:val="none" w:sz="0" w:space="0" w:color="auto"/>
            <w:bottom w:val="none" w:sz="0" w:space="0" w:color="auto"/>
            <w:right w:val="none" w:sz="0" w:space="0" w:color="auto"/>
          </w:divBdr>
        </w:div>
        <w:div w:id="468935669">
          <w:marLeft w:val="0"/>
          <w:marRight w:val="0"/>
          <w:marTop w:val="0"/>
          <w:marBottom w:val="0"/>
          <w:divBdr>
            <w:top w:val="none" w:sz="0" w:space="0" w:color="auto"/>
            <w:left w:val="none" w:sz="0" w:space="0" w:color="auto"/>
            <w:bottom w:val="none" w:sz="0" w:space="0" w:color="auto"/>
            <w:right w:val="none" w:sz="0" w:space="0" w:color="auto"/>
          </w:divBdr>
        </w:div>
        <w:div w:id="504513869">
          <w:marLeft w:val="0"/>
          <w:marRight w:val="0"/>
          <w:marTop w:val="0"/>
          <w:marBottom w:val="0"/>
          <w:divBdr>
            <w:top w:val="none" w:sz="0" w:space="0" w:color="auto"/>
            <w:left w:val="none" w:sz="0" w:space="0" w:color="auto"/>
            <w:bottom w:val="none" w:sz="0" w:space="0" w:color="auto"/>
            <w:right w:val="none" w:sz="0" w:space="0" w:color="auto"/>
          </w:divBdr>
        </w:div>
        <w:div w:id="559245147">
          <w:marLeft w:val="0"/>
          <w:marRight w:val="0"/>
          <w:marTop w:val="0"/>
          <w:marBottom w:val="0"/>
          <w:divBdr>
            <w:top w:val="none" w:sz="0" w:space="0" w:color="auto"/>
            <w:left w:val="none" w:sz="0" w:space="0" w:color="auto"/>
            <w:bottom w:val="none" w:sz="0" w:space="0" w:color="auto"/>
            <w:right w:val="none" w:sz="0" w:space="0" w:color="auto"/>
          </w:divBdr>
        </w:div>
        <w:div w:id="590894090">
          <w:marLeft w:val="0"/>
          <w:marRight w:val="0"/>
          <w:marTop w:val="0"/>
          <w:marBottom w:val="0"/>
          <w:divBdr>
            <w:top w:val="none" w:sz="0" w:space="0" w:color="auto"/>
            <w:left w:val="none" w:sz="0" w:space="0" w:color="auto"/>
            <w:bottom w:val="none" w:sz="0" w:space="0" w:color="auto"/>
            <w:right w:val="none" w:sz="0" w:space="0" w:color="auto"/>
          </w:divBdr>
        </w:div>
        <w:div w:id="678315344">
          <w:marLeft w:val="0"/>
          <w:marRight w:val="0"/>
          <w:marTop w:val="0"/>
          <w:marBottom w:val="0"/>
          <w:divBdr>
            <w:top w:val="none" w:sz="0" w:space="0" w:color="auto"/>
            <w:left w:val="none" w:sz="0" w:space="0" w:color="auto"/>
            <w:bottom w:val="none" w:sz="0" w:space="0" w:color="auto"/>
            <w:right w:val="none" w:sz="0" w:space="0" w:color="auto"/>
          </w:divBdr>
        </w:div>
        <w:div w:id="684012985">
          <w:marLeft w:val="0"/>
          <w:marRight w:val="0"/>
          <w:marTop w:val="0"/>
          <w:marBottom w:val="0"/>
          <w:divBdr>
            <w:top w:val="none" w:sz="0" w:space="0" w:color="auto"/>
            <w:left w:val="none" w:sz="0" w:space="0" w:color="auto"/>
            <w:bottom w:val="none" w:sz="0" w:space="0" w:color="auto"/>
            <w:right w:val="none" w:sz="0" w:space="0" w:color="auto"/>
          </w:divBdr>
        </w:div>
        <w:div w:id="720404346">
          <w:marLeft w:val="0"/>
          <w:marRight w:val="0"/>
          <w:marTop w:val="0"/>
          <w:marBottom w:val="0"/>
          <w:divBdr>
            <w:top w:val="none" w:sz="0" w:space="0" w:color="auto"/>
            <w:left w:val="none" w:sz="0" w:space="0" w:color="auto"/>
            <w:bottom w:val="none" w:sz="0" w:space="0" w:color="auto"/>
            <w:right w:val="none" w:sz="0" w:space="0" w:color="auto"/>
          </w:divBdr>
        </w:div>
        <w:div w:id="756487377">
          <w:marLeft w:val="0"/>
          <w:marRight w:val="0"/>
          <w:marTop w:val="0"/>
          <w:marBottom w:val="0"/>
          <w:divBdr>
            <w:top w:val="none" w:sz="0" w:space="0" w:color="auto"/>
            <w:left w:val="none" w:sz="0" w:space="0" w:color="auto"/>
            <w:bottom w:val="none" w:sz="0" w:space="0" w:color="auto"/>
            <w:right w:val="none" w:sz="0" w:space="0" w:color="auto"/>
          </w:divBdr>
        </w:div>
        <w:div w:id="760955871">
          <w:marLeft w:val="0"/>
          <w:marRight w:val="0"/>
          <w:marTop w:val="0"/>
          <w:marBottom w:val="0"/>
          <w:divBdr>
            <w:top w:val="none" w:sz="0" w:space="0" w:color="auto"/>
            <w:left w:val="none" w:sz="0" w:space="0" w:color="auto"/>
            <w:bottom w:val="none" w:sz="0" w:space="0" w:color="auto"/>
            <w:right w:val="none" w:sz="0" w:space="0" w:color="auto"/>
          </w:divBdr>
        </w:div>
        <w:div w:id="790592726">
          <w:marLeft w:val="0"/>
          <w:marRight w:val="0"/>
          <w:marTop w:val="0"/>
          <w:marBottom w:val="0"/>
          <w:divBdr>
            <w:top w:val="none" w:sz="0" w:space="0" w:color="auto"/>
            <w:left w:val="none" w:sz="0" w:space="0" w:color="auto"/>
            <w:bottom w:val="none" w:sz="0" w:space="0" w:color="auto"/>
            <w:right w:val="none" w:sz="0" w:space="0" w:color="auto"/>
          </w:divBdr>
        </w:div>
        <w:div w:id="825121966">
          <w:marLeft w:val="0"/>
          <w:marRight w:val="0"/>
          <w:marTop w:val="0"/>
          <w:marBottom w:val="0"/>
          <w:divBdr>
            <w:top w:val="none" w:sz="0" w:space="0" w:color="auto"/>
            <w:left w:val="none" w:sz="0" w:space="0" w:color="auto"/>
            <w:bottom w:val="none" w:sz="0" w:space="0" w:color="auto"/>
            <w:right w:val="none" w:sz="0" w:space="0" w:color="auto"/>
          </w:divBdr>
        </w:div>
        <w:div w:id="826744449">
          <w:marLeft w:val="0"/>
          <w:marRight w:val="0"/>
          <w:marTop w:val="0"/>
          <w:marBottom w:val="0"/>
          <w:divBdr>
            <w:top w:val="none" w:sz="0" w:space="0" w:color="auto"/>
            <w:left w:val="none" w:sz="0" w:space="0" w:color="auto"/>
            <w:bottom w:val="none" w:sz="0" w:space="0" w:color="auto"/>
            <w:right w:val="none" w:sz="0" w:space="0" w:color="auto"/>
          </w:divBdr>
        </w:div>
        <w:div w:id="828251104">
          <w:marLeft w:val="0"/>
          <w:marRight w:val="0"/>
          <w:marTop w:val="0"/>
          <w:marBottom w:val="0"/>
          <w:divBdr>
            <w:top w:val="none" w:sz="0" w:space="0" w:color="auto"/>
            <w:left w:val="none" w:sz="0" w:space="0" w:color="auto"/>
            <w:bottom w:val="none" w:sz="0" w:space="0" w:color="auto"/>
            <w:right w:val="none" w:sz="0" w:space="0" w:color="auto"/>
          </w:divBdr>
        </w:div>
        <w:div w:id="867452030">
          <w:marLeft w:val="0"/>
          <w:marRight w:val="0"/>
          <w:marTop w:val="0"/>
          <w:marBottom w:val="0"/>
          <w:divBdr>
            <w:top w:val="none" w:sz="0" w:space="0" w:color="auto"/>
            <w:left w:val="none" w:sz="0" w:space="0" w:color="auto"/>
            <w:bottom w:val="none" w:sz="0" w:space="0" w:color="auto"/>
            <w:right w:val="none" w:sz="0" w:space="0" w:color="auto"/>
          </w:divBdr>
        </w:div>
        <w:div w:id="870806246">
          <w:marLeft w:val="0"/>
          <w:marRight w:val="0"/>
          <w:marTop w:val="0"/>
          <w:marBottom w:val="0"/>
          <w:divBdr>
            <w:top w:val="none" w:sz="0" w:space="0" w:color="auto"/>
            <w:left w:val="none" w:sz="0" w:space="0" w:color="auto"/>
            <w:bottom w:val="none" w:sz="0" w:space="0" w:color="auto"/>
            <w:right w:val="none" w:sz="0" w:space="0" w:color="auto"/>
          </w:divBdr>
        </w:div>
        <w:div w:id="890649225">
          <w:marLeft w:val="0"/>
          <w:marRight w:val="0"/>
          <w:marTop w:val="0"/>
          <w:marBottom w:val="0"/>
          <w:divBdr>
            <w:top w:val="none" w:sz="0" w:space="0" w:color="auto"/>
            <w:left w:val="none" w:sz="0" w:space="0" w:color="auto"/>
            <w:bottom w:val="none" w:sz="0" w:space="0" w:color="auto"/>
            <w:right w:val="none" w:sz="0" w:space="0" w:color="auto"/>
          </w:divBdr>
        </w:div>
        <w:div w:id="920256650">
          <w:marLeft w:val="0"/>
          <w:marRight w:val="0"/>
          <w:marTop w:val="0"/>
          <w:marBottom w:val="0"/>
          <w:divBdr>
            <w:top w:val="none" w:sz="0" w:space="0" w:color="auto"/>
            <w:left w:val="none" w:sz="0" w:space="0" w:color="auto"/>
            <w:bottom w:val="none" w:sz="0" w:space="0" w:color="auto"/>
            <w:right w:val="none" w:sz="0" w:space="0" w:color="auto"/>
          </w:divBdr>
        </w:div>
        <w:div w:id="1009679413">
          <w:marLeft w:val="0"/>
          <w:marRight w:val="0"/>
          <w:marTop w:val="0"/>
          <w:marBottom w:val="0"/>
          <w:divBdr>
            <w:top w:val="none" w:sz="0" w:space="0" w:color="auto"/>
            <w:left w:val="none" w:sz="0" w:space="0" w:color="auto"/>
            <w:bottom w:val="none" w:sz="0" w:space="0" w:color="auto"/>
            <w:right w:val="none" w:sz="0" w:space="0" w:color="auto"/>
          </w:divBdr>
        </w:div>
        <w:div w:id="1058210721">
          <w:marLeft w:val="0"/>
          <w:marRight w:val="0"/>
          <w:marTop w:val="0"/>
          <w:marBottom w:val="0"/>
          <w:divBdr>
            <w:top w:val="none" w:sz="0" w:space="0" w:color="auto"/>
            <w:left w:val="none" w:sz="0" w:space="0" w:color="auto"/>
            <w:bottom w:val="none" w:sz="0" w:space="0" w:color="auto"/>
            <w:right w:val="none" w:sz="0" w:space="0" w:color="auto"/>
          </w:divBdr>
        </w:div>
        <w:div w:id="1086461086">
          <w:marLeft w:val="0"/>
          <w:marRight w:val="0"/>
          <w:marTop w:val="0"/>
          <w:marBottom w:val="0"/>
          <w:divBdr>
            <w:top w:val="none" w:sz="0" w:space="0" w:color="auto"/>
            <w:left w:val="none" w:sz="0" w:space="0" w:color="auto"/>
            <w:bottom w:val="none" w:sz="0" w:space="0" w:color="auto"/>
            <w:right w:val="none" w:sz="0" w:space="0" w:color="auto"/>
          </w:divBdr>
        </w:div>
        <w:div w:id="1100297378">
          <w:marLeft w:val="0"/>
          <w:marRight w:val="0"/>
          <w:marTop w:val="0"/>
          <w:marBottom w:val="0"/>
          <w:divBdr>
            <w:top w:val="none" w:sz="0" w:space="0" w:color="auto"/>
            <w:left w:val="none" w:sz="0" w:space="0" w:color="auto"/>
            <w:bottom w:val="none" w:sz="0" w:space="0" w:color="auto"/>
            <w:right w:val="none" w:sz="0" w:space="0" w:color="auto"/>
          </w:divBdr>
        </w:div>
        <w:div w:id="1208490215">
          <w:marLeft w:val="0"/>
          <w:marRight w:val="0"/>
          <w:marTop w:val="0"/>
          <w:marBottom w:val="0"/>
          <w:divBdr>
            <w:top w:val="none" w:sz="0" w:space="0" w:color="auto"/>
            <w:left w:val="none" w:sz="0" w:space="0" w:color="auto"/>
            <w:bottom w:val="none" w:sz="0" w:space="0" w:color="auto"/>
            <w:right w:val="none" w:sz="0" w:space="0" w:color="auto"/>
          </w:divBdr>
        </w:div>
        <w:div w:id="1213690016">
          <w:marLeft w:val="0"/>
          <w:marRight w:val="0"/>
          <w:marTop w:val="0"/>
          <w:marBottom w:val="0"/>
          <w:divBdr>
            <w:top w:val="none" w:sz="0" w:space="0" w:color="auto"/>
            <w:left w:val="none" w:sz="0" w:space="0" w:color="auto"/>
            <w:bottom w:val="none" w:sz="0" w:space="0" w:color="auto"/>
            <w:right w:val="none" w:sz="0" w:space="0" w:color="auto"/>
          </w:divBdr>
        </w:div>
        <w:div w:id="1297953857">
          <w:marLeft w:val="0"/>
          <w:marRight w:val="0"/>
          <w:marTop w:val="0"/>
          <w:marBottom w:val="0"/>
          <w:divBdr>
            <w:top w:val="none" w:sz="0" w:space="0" w:color="auto"/>
            <w:left w:val="none" w:sz="0" w:space="0" w:color="auto"/>
            <w:bottom w:val="none" w:sz="0" w:space="0" w:color="auto"/>
            <w:right w:val="none" w:sz="0" w:space="0" w:color="auto"/>
          </w:divBdr>
        </w:div>
        <w:div w:id="1343120805">
          <w:marLeft w:val="0"/>
          <w:marRight w:val="0"/>
          <w:marTop w:val="0"/>
          <w:marBottom w:val="0"/>
          <w:divBdr>
            <w:top w:val="none" w:sz="0" w:space="0" w:color="auto"/>
            <w:left w:val="none" w:sz="0" w:space="0" w:color="auto"/>
            <w:bottom w:val="none" w:sz="0" w:space="0" w:color="auto"/>
            <w:right w:val="none" w:sz="0" w:space="0" w:color="auto"/>
          </w:divBdr>
        </w:div>
        <w:div w:id="1415281308">
          <w:marLeft w:val="0"/>
          <w:marRight w:val="0"/>
          <w:marTop w:val="0"/>
          <w:marBottom w:val="0"/>
          <w:divBdr>
            <w:top w:val="none" w:sz="0" w:space="0" w:color="auto"/>
            <w:left w:val="none" w:sz="0" w:space="0" w:color="auto"/>
            <w:bottom w:val="none" w:sz="0" w:space="0" w:color="auto"/>
            <w:right w:val="none" w:sz="0" w:space="0" w:color="auto"/>
          </w:divBdr>
        </w:div>
        <w:div w:id="1435784318">
          <w:marLeft w:val="0"/>
          <w:marRight w:val="0"/>
          <w:marTop w:val="0"/>
          <w:marBottom w:val="0"/>
          <w:divBdr>
            <w:top w:val="none" w:sz="0" w:space="0" w:color="auto"/>
            <w:left w:val="none" w:sz="0" w:space="0" w:color="auto"/>
            <w:bottom w:val="none" w:sz="0" w:space="0" w:color="auto"/>
            <w:right w:val="none" w:sz="0" w:space="0" w:color="auto"/>
          </w:divBdr>
        </w:div>
        <w:div w:id="1467316988">
          <w:marLeft w:val="0"/>
          <w:marRight w:val="0"/>
          <w:marTop w:val="0"/>
          <w:marBottom w:val="0"/>
          <w:divBdr>
            <w:top w:val="none" w:sz="0" w:space="0" w:color="auto"/>
            <w:left w:val="none" w:sz="0" w:space="0" w:color="auto"/>
            <w:bottom w:val="none" w:sz="0" w:space="0" w:color="auto"/>
            <w:right w:val="none" w:sz="0" w:space="0" w:color="auto"/>
          </w:divBdr>
        </w:div>
        <w:div w:id="1483279955">
          <w:marLeft w:val="0"/>
          <w:marRight w:val="0"/>
          <w:marTop w:val="0"/>
          <w:marBottom w:val="0"/>
          <w:divBdr>
            <w:top w:val="none" w:sz="0" w:space="0" w:color="auto"/>
            <w:left w:val="none" w:sz="0" w:space="0" w:color="auto"/>
            <w:bottom w:val="none" w:sz="0" w:space="0" w:color="auto"/>
            <w:right w:val="none" w:sz="0" w:space="0" w:color="auto"/>
          </w:divBdr>
        </w:div>
        <w:div w:id="1535734293">
          <w:marLeft w:val="0"/>
          <w:marRight w:val="0"/>
          <w:marTop w:val="0"/>
          <w:marBottom w:val="0"/>
          <w:divBdr>
            <w:top w:val="none" w:sz="0" w:space="0" w:color="auto"/>
            <w:left w:val="none" w:sz="0" w:space="0" w:color="auto"/>
            <w:bottom w:val="none" w:sz="0" w:space="0" w:color="auto"/>
            <w:right w:val="none" w:sz="0" w:space="0" w:color="auto"/>
          </w:divBdr>
        </w:div>
        <w:div w:id="1565606886">
          <w:marLeft w:val="0"/>
          <w:marRight w:val="0"/>
          <w:marTop w:val="0"/>
          <w:marBottom w:val="0"/>
          <w:divBdr>
            <w:top w:val="none" w:sz="0" w:space="0" w:color="auto"/>
            <w:left w:val="none" w:sz="0" w:space="0" w:color="auto"/>
            <w:bottom w:val="none" w:sz="0" w:space="0" w:color="auto"/>
            <w:right w:val="none" w:sz="0" w:space="0" w:color="auto"/>
          </w:divBdr>
        </w:div>
        <w:div w:id="1607616218">
          <w:marLeft w:val="0"/>
          <w:marRight w:val="0"/>
          <w:marTop w:val="0"/>
          <w:marBottom w:val="0"/>
          <w:divBdr>
            <w:top w:val="none" w:sz="0" w:space="0" w:color="auto"/>
            <w:left w:val="none" w:sz="0" w:space="0" w:color="auto"/>
            <w:bottom w:val="none" w:sz="0" w:space="0" w:color="auto"/>
            <w:right w:val="none" w:sz="0" w:space="0" w:color="auto"/>
          </w:divBdr>
        </w:div>
        <w:div w:id="1618171313">
          <w:marLeft w:val="0"/>
          <w:marRight w:val="0"/>
          <w:marTop w:val="0"/>
          <w:marBottom w:val="0"/>
          <w:divBdr>
            <w:top w:val="none" w:sz="0" w:space="0" w:color="auto"/>
            <w:left w:val="none" w:sz="0" w:space="0" w:color="auto"/>
            <w:bottom w:val="none" w:sz="0" w:space="0" w:color="auto"/>
            <w:right w:val="none" w:sz="0" w:space="0" w:color="auto"/>
          </w:divBdr>
        </w:div>
        <w:div w:id="1701972810">
          <w:marLeft w:val="0"/>
          <w:marRight w:val="0"/>
          <w:marTop w:val="0"/>
          <w:marBottom w:val="0"/>
          <w:divBdr>
            <w:top w:val="none" w:sz="0" w:space="0" w:color="auto"/>
            <w:left w:val="none" w:sz="0" w:space="0" w:color="auto"/>
            <w:bottom w:val="none" w:sz="0" w:space="0" w:color="auto"/>
            <w:right w:val="none" w:sz="0" w:space="0" w:color="auto"/>
          </w:divBdr>
        </w:div>
        <w:div w:id="1716008787">
          <w:marLeft w:val="0"/>
          <w:marRight w:val="0"/>
          <w:marTop w:val="0"/>
          <w:marBottom w:val="0"/>
          <w:divBdr>
            <w:top w:val="none" w:sz="0" w:space="0" w:color="auto"/>
            <w:left w:val="none" w:sz="0" w:space="0" w:color="auto"/>
            <w:bottom w:val="none" w:sz="0" w:space="0" w:color="auto"/>
            <w:right w:val="none" w:sz="0" w:space="0" w:color="auto"/>
          </w:divBdr>
        </w:div>
        <w:div w:id="1793399733">
          <w:marLeft w:val="0"/>
          <w:marRight w:val="0"/>
          <w:marTop w:val="0"/>
          <w:marBottom w:val="0"/>
          <w:divBdr>
            <w:top w:val="none" w:sz="0" w:space="0" w:color="auto"/>
            <w:left w:val="none" w:sz="0" w:space="0" w:color="auto"/>
            <w:bottom w:val="none" w:sz="0" w:space="0" w:color="auto"/>
            <w:right w:val="none" w:sz="0" w:space="0" w:color="auto"/>
          </w:divBdr>
        </w:div>
        <w:div w:id="1826510537">
          <w:marLeft w:val="0"/>
          <w:marRight w:val="0"/>
          <w:marTop w:val="0"/>
          <w:marBottom w:val="0"/>
          <w:divBdr>
            <w:top w:val="none" w:sz="0" w:space="0" w:color="auto"/>
            <w:left w:val="none" w:sz="0" w:space="0" w:color="auto"/>
            <w:bottom w:val="none" w:sz="0" w:space="0" w:color="auto"/>
            <w:right w:val="none" w:sz="0" w:space="0" w:color="auto"/>
          </w:divBdr>
        </w:div>
        <w:div w:id="1843619933">
          <w:marLeft w:val="0"/>
          <w:marRight w:val="0"/>
          <w:marTop w:val="0"/>
          <w:marBottom w:val="0"/>
          <w:divBdr>
            <w:top w:val="none" w:sz="0" w:space="0" w:color="auto"/>
            <w:left w:val="none" w:sz="0" w:space="0" w:color="auto"/>
            <w:bottom w:val="none" w:sz="0" w:space="0" w:color="auto"/>
            <w:right w:val="none" w:sz="0" w:space="0" w:color="auto"/>
          </w:divBdr>
        </w:div>
        <w:div w:id="1883208140">
          <w:marLeft w:val="0"/>
          <w:marRight w:val="0"/>
          <w:marTop w:val="0"/>
          <w:marBottom w:val="0"/>
          <w:divBdr>
            <w:top w:val="none" w:sz="0" w:space="0" w:color="auto"/>
            <w:left w:val="none" w:sz="0" w:space="0" w:color="auto"/>
            <w:bottom w:val="none" w:sz="0" w:space="0" w:color="auto"/>
            <w:right w:val="none" w:sz="0" w:space="0" w:color="auto"/>
          </w:divBdr>
        </w:div>
        <w:div w:id="1914119801">
          <w:marLeft w:val="0"/>
          <w:marRight w:val="0"/>
          <w:marTop w:val="0"/>
          <w:marBottom w:val="0"/>
          <w:divBdr>
            <w:top w:val="none" w:sz="0" w:space="0" w:color="auto"/>
            <w:left w:val="none" w:sz="0" w:space="0" w:color="auto"/>
            <w:bottom w:val="none" w:sz="0" w:space="0" w:color="auto"/>
            <w:right w:val="none" w:sz="0" w:space="0" w:color="auto"/>
          </w:divBdr>
        </w:div>
        <w:div w:id="2030721588">
          <w:marLeft w:val="0"/>
          <w:marRight w:val="0"/>
          <w:marTop w:val="0"/>
          <w:marBottom w:val="0"/>
          <w:divBdr>
            <w:top w:val="none" w:sz="0" w:space="0" w:color="auto"/>
            <w:left w:val="none" w:sz="0" w:space="0" w:color="auto"/>
            <w:bottom w:val="none" w:sz="0" w:space="0" w:color="auto"/>
            <w:right w:val="none" w:sz="0" w:space="0" w:color="auto"/>
          </w:divBdr>
        </w:div>
        <w:div w:id="2103186875">
          <w:marLeft w:val="0"/>
          <w:marRight w:val="0"/>
          <w:marTop w:val="0"/>
          <w:marBottom w:val="0"/>
          <w:divBdr>
            <w:top w:val="none" w:sz="0" w:space="0" w:color="auto"/>
            <w:left w:val="none" w:sz="0" w:space="0" w:color="auto"/>
            <w:bottom w:val="none" w:sz="0" w:space="0" w:color="auto"/>
            <w:right w:val="none" w:sz="0" w:space="0" w:color="auto"/>
          </w:divBdr>
        </w:div>
      </w:divsChild>
    </w:div>
    <w:div w:id="1881281507">
      <w:bodyDiv w:val="1"/>
      <w:marLeft w:val="0"/>
      <w:marRight w:val="0"/>
      <w:marTop w:val="0"/>
      <w:marBottom w:val="0"/>
      <w:divBdr>
        <w:top w:val="none" w:sz="0" w:space="0" w:color="auto"/>
        <w:left w:val="none" w:sz="0" w:space="0" w:color="auto"/>
        <w:bottom w:val="none" w:sz="0" w:space="0" w:color="auto"/>
        <w:right w:val="none" w:sz="0" w:space="0" w:color="auto"/>
      </w:divBdr>
    </w:div>
    <w:div w:id="1883322124">
      <w:bodyDiv w:val="1"/>
      <w:marLeft w:val="0"/>
      <w:marRight w:val="0"/>
      <w:marTop w:val="0"/>
      <w:marBottom w:val="0"/>
      <w:divBdr>
        <w:top w:val="none" w:sz="0" w:space="0" w:color="auto"/>
        <w:left w:val="none" w:sz="0" w:space="0" w:color="auto"/>
        <w:bottom w:val="none" w:sz="0" w:space="0" w:color="auto"/>
        <w:right w:val="none" w:sz="0" w:space="0" w:color="auto"/>
      </w:divBdr>
      <w:divsChild>
        <w:div w:id="849834055">
          <w:marLeft w:val="0"/>
          <w:marRight w:val="0"/>
          <w:marTop w:val="0"/>
          <w:marBottom w:val="0"/>
          <w:divBdr>
            <w:top w:val="none" w:sz="0" w:space="0" w:color="auto"/>
            <w:left w:val="none" w:sz="0" w:space="0" w:color="auto"/>
            <w:bottom w:val="none" w:sz="0" w:space="0" w:color="auto"/>
            <w:right w:val="none" w:sz="0" w:space="0" w:color="auto"/>
          </w:divBdr>
        </w:div>
        <w:div w:id="1002318146">
          <w:marLeft w:val="0"/>
          <w:marRight w:val="0"/>
          <w:marTop w:val="0"/>
          <w:marBottom w:val="0"/>
          <w:divBdr>
            <w:top w:val="none" w:sz="0" w:space="0" w:color="auto"/>
            <w:left w:val="none" w:sz="0" w:space="0" w:color="auto"/>
            <w:bottom w:val="none" w:sz="0" w:space="0" w:color="auto"/>
            <w:right w:val="none" w:sz="0" w:space="0" w:color="auto"/>
          </w:divBdr>
        </w:div>
        <w:div w:id="1265069952">
          <w:marLeft w:val="0"/>
          <w:marRight w:val="0"/>
          <w:marTop w:val="0"/>
          <w:marBottom w:val="0"/>
          <w:divBdr>
            <w:top w:val="none" w:sz="0" w:space="0" w:color="auto"/>
            <w:left w:val="none" w:sz="0" w:space="0" w:color="auto"/>
            <w:bottom w:val="none" w:sz="0" w:space="0" w:color="auto"/>
            <w:right w:val="none" w:sz="0" w:space="0" w:color="auto"/>
          </w:divBdr>
        </w:div>
        <w:div w:id="1870290435">
          <w:marLeft w:val="0"/>
          <w:marRight w:val="0"/>
          <w:marTop w:val="0"/>
          <w:marBottom w:val="0"/>
          <w:divBdr>
            <w:top w:val="none" w:sz="0" w:space="0" w:color="auto"/>
            <w:left w:val="none" w:sz="0" w:space="0" w:color="auto"/>
            <w:bottom w:val="none" w:sz="0" w:space="0" w:color="auto"/>
            <w:right w:val="none" w:sz="0" w:space="0" w:color="auto"/>
          </w:divBdr>
        </w:div>
      </w:divsChild>
    </w:div>
    <w:div w:id="1884556266">
      <w:bodyDiv w:val="1"/>
      <w:marLeft w:val="0"/>
      <w:marRight w:val="0"/>
      <w:marTop w:val="0"/>
      <w:marBottom w:val="0"/>
      <w:divBdr>
        <w:top w:val="none" w:sz="0" w:space="0" w:color="auto"/>
        <w:left w:val="none" w:sz="0" w:space="0" w:color="auto"/>
        <w:bottom w:val="none" w:sz="0" w:space="0" w:color="auto"/>
        <w:right w:val="none" w:sz="0" w:space="0" w:color="auto"/>
      </w:divBdr>
      <w:divsChild>
        <w:div w:id="142623134">
          <w:marLeft w:val="0"/>
          <w:marRight w:val="0"/>
          <w:marTop w:val="0"/>
          <w:marBottom w:val="0"/>
          <w:divBdr>
            <w:top w:val="none" w:sz="0" w:space="0" w:color="auto"/>
            <w:left w:val="none" w:sz="0" w:space="0" w:color="auto"/>
            <w:bottom w:val="none" w:sz="0" w:space="0" w:color="auto"/>
            <w:right w:val="none" w:sz="0" w:space="0" w:color="auto"/>
          </w:divBdr>
        </w:div>
        <w:div w:id="276911703">
          <w:marLeft w:val="0"/>
          <w:marRight w:val="0"/>
          <w:marTop w:val="0"/>
          <w:marBottom w:val="0"/>
          <w:divBdr>
            <w:top w:val="none" w:sz="0" w:space="0" w:color="auto"/>
            <w:left w:val="none" w:sz="0" w:space="0" w:color="auto"/>
            <w:bottom w:val="none" w:sz="0" w:space="0" w:color="auto"/>
            <w:right w:val="none" w:sz="0" w:space="0" w:color="auto"/>
          </w:divBdr>
        </w:div>
        <w:div w:id="319582576">
          <w:marLeft w:val="0"/>
          <w:marRight w:val="0"/>
          <w:marTop w:val="0"/>
          <w:marBottom w:val="0"/>
          <w:divBdr>
            <w:top w:val="none" w:sz="0" w:space="0" w:color="auto"/>
            <w:left w:val="none" w:sz="0" w:space="0" w:color="auto"/>
            <w:bottom w:val="none" w:sz="0" w:space="0" w:color="auto"/>
            <w:right w:val="none" w:sz="0" w:space="0" w:color="auto"/>
          </w:divBdr>
        </w:div>
        <w:div w:id="359744928">
          <w:marLeft w:val="0"/>
          <w:marRight w:val="0"/>
          <w:marTop w:val="0"/>
          <w:marBottom w:val="0"/>
          <w:divBdr>
            <w:top w:val="none" w:sz="0" w:space="0" w:color="auto"/>
            <w:left w:val="none" w:sz="0" w:space="0" w:color="auto"/>
            <w:bottom w:val="none" w:sz="0" w:space="0" w:color="auto"/>
            <w:right w:val="none" w:sz="0" w:space="0" w:color="auto"/>
          </w:divBdr>
        </w:div>
        <w:div w:id="376200103">
          <w:marLeft w:val="0"/>
          <w:marRight w:val="0"/>
          <w:marTop w:val="0"/>
          <w:marBottom w:val="0"/>
          <w:divBdr>
            <w:top w:val="none" w:sz="0" w:space="0" w:color="auto"/>
            <w:left w:val="none" w:sz="0" w:space="0" w:color="auto"/>
            <w:bottom w:val="none" w:sz="0" w:space="0" w:color="auto"/>
            <w:right w:val="none" w:sz="0" w:space="0" w:color="auto"/>
          </w:divBdr>
        </w:div>
        <w:div w:id="489252873">
          <w:marLeft w:val="0"/>
          <w:marRight w:val="0"/>
          <w:marTop w:val="0"/>
          <w:marBottom w:val="0"/>
          <w:divBdr>
            <w:top w:val="none" w:sz="0" w:space="0" w:color="auto"/>
            <w:left w:val="none" w:sz="0" w:space="0" w:color="auto"/>
            <w:bottom w:val="none" w:sz="0" w:space="0" w:color="auto"/>
            <w:right w:val="none" w:sz="0" w:space="0" w:color="auto"/>
          </w:divBdr>
        </w:div>
        <w:div w:id="592665907">
          <w:marLeft w:val="0"/>
          <w:marRight w:val="0"/>
          <w:marTop w:val="0"/>
          <w:marBottom w:val="0"/>
          <w:divBdr>
            <w:top w:val="none" w:sz="0" w:space="0" w:color="auto"/>
            <w:left w:val="none" w:sz="0" w:space="0" w:color="auto"/>
            <w:bottom w:val="none" w:sz="0" w:space="0" w:color="auto"/>
            <w:right w:val="none" w:sz="0" w:space="0" w:color="auto"/>
          </w:divBdr>
        </w:div>
        <w:div w:id="683633963">
          <w:marLeft w:val="0"/>
          <w:marRight w:val="0"/>
          <w:marTop w:val="0"/>
          <w:marBottom w:val="0"/>
          <w:divBdr>
            <w:top w:val="none" w:sz="0" w:space="0" w:color="auto"/>
            <w:left w:val="none" w:sz="0" w:space="0" w:color="auto"/>
            <w:bottom w:val="none" w:sz="0" w:space="0" w:color="auto"/>
            <w:right w:val="none" w:sz="0" w:space="0" w:color="auto"/>
          </w:divBdr>
        </w:div>
        <w:div w:id="783571585">
          <w:marLeft w:val="0"/>
          <w:marRight w:val="0"/>
          <w:marTop w:val="0"/>
          <w:marBottom w:val="0"/>
          <w:divBdr>
            <w:top w:val="none" w:sz="0" w:space="0" w:color="auto"/>
            <w:left w:val="none" w:sz="0" w:space="0" w:color="auto"/>
            <w:bottom w:val="none" w:sz="0" w:space="0" w:color="auto"/>
            <w:right w:val="none" w:sz="0" w:space="0" w:color="auto"/>
          </w:divBdr>
        </w:div>
        <w:div w:id="819467666">
          <w:marLeft w:val="0"/>
          <w:marRight w:val="0"/>
          <w:marTop w:val="0"/>
          <w:marBottom w:val="0"/>
          <w:divBdr>
            <w:top w:val="none" w:sz="0" w:space="0" w:color="auto"/>
            <w:left w:val="none" w:sz="0" w:space="0" w:color="auto"/>
            <w:bottom w:val="none" w:sz="0" w:space="0" w:color="auto"/>
            <w:right w:val="none" w:sz="0" w:space="0" w:color="auto"/>
          </w:divBdr>
        </w:div>
        <w:div w:id="820388609">
          <w:marLeft w:val="0"/>
          <w:marRight w:val="0"/>
          <w:marTop w:val="0"/>
          <w:marBottom w:val="0"/>
          <w:divBdr>
            <w:top w:val="none" w:sz="0" w:space="0" w:color="auto"/>
            <w:left w:val="none" w:sz="0" w:space="0" w:color="auto"/>
            <w:bottom w:val="none" w:sz="0" w:space="0" w:color="auto"/>
            <w:right w:val="none" w:sz="0" w:space="0" w:color="auto"/>
          </w:divBdr>
        </w:div>
        <w:div w:id="885024750">
          <w:marLeft w:val="0"/>
          <w:marRight w:val="0"/>
          <w:marTop w:val="0"/>
          <w:marBottom w:val="0"/>
          <w:divBdr>
            <w:top w:val="none" w:sz="0" w:space="0" w:color="auto"/>
            <w:left w:val="none" w:sz="0" w:space="0" w:color="auto"/>
            <w:bottom w:val="none" w:sz="0" w:space="0" w:color="auto"/>
            <w:right w:val="none" w:sz="0" w:space="0" w:color="auto"/>
          </w:divBdr>
        </w:div>
        <w:div w:id="901209292">
          <w:marLeft w:val="0"/>
          <w:marRight w:val="0"/>
          <w:marTop w:val="0"/>
          <w:marBottom w:val="0"/>
          <w:divBdr>
            <w:top w:val="none" w:sz="0" w:space="0" w:color="auto"/>
            <w:left w:val="none" w:sz="0" w:space="0" w:color="auto"/>
            <w:bottom w:val="none" w:sz="0" w:space="0" w:color="auto"/>
            <w:right w:val="none" w:sz="0" w:space="0" w:color="auto"/>
          </w:divBdr>
        </w:div>
        <w:div w:id="1025600246">
          <w:marLeft w:val="0"/>
          <w:marRight w:val="0"/>
          <w:marTop w:val="0"/>
          <w:marBottom w:val="0"/>
          <w:divBdr>
            <w:top w:val="none" w:sz="0" w:space="0" w:color="auto"/>
            <w:left w:val="none" w:sz="0" w:space="0" w:color="auto"/>
            <w:bottom w:val="none" w:sz="0" w:space="0" w:color="auto"/>
            <w:right w:val="none" w:sz="0" w:space="0" w:color="auto"/>
          </w:divBdr>
        </w:div>
        <w:div w:id="1215695282">
          <w:marLeft w:val="0"/>
          <w:marRight w:val="0"/>
          <w:marTop w:val="0"/>
          <w:marBottom w:val="0"/>
          <w:divBdr>
            <w:top w:val="none" w:sz="0" w:space="0" w:color="auto"/>
            <w:left w:val="none" w:sz="0" w:space="0" w:color="auto"/>
            <w:bottom w:val="none" w:sz="0" w:space="0" w:color="auto"/>
            <w:right w:val="none" w:sz="0" w:space="0" w:color="auto"/>
          </w:divBdr>
        </w:div>
        <w:div w:id="1235504072">
          <w:marLeft w:val="0"/>
          <w:marRight w:val="0"/>
          <w:marTop w:val="0"/>
          <w:marBottom w:val="0"/>
          <w:divBdr>
            <w:top w:val="none" w:sz="0" w:space="0" w:color="auto"/>
            <w:left w:val="none" w:sz="0" w:space="0" w:color="auto"/>
            <w:bottom w:val="none" w:sz="0" w:space="0" w:color="auto"/>
            <w:right w:val="none" w:sz="0" w:space="0" w:color="auto"/>
          </w:divBdr>
        </w:div>
        <w:div w:id="1483699661">
          <w:marLeft w:val="0"/>
          <w:marRight w:val="0"/>
          <w:marTop w:val="0"/>
          <w:marBottom w:val="0"/>
          <w:divBdr>
            <w:top w:val="none" w:sz="0" w:space="0" w:color="auto"/>
            <w:left w:val="none" w:sz="0" w:space="0" w:color="auto"/>
            <w:bottom w:val="none" w:sz="0" w:space="0" w:color="auto"/>
            <w:right w:val="none" w:sz="0" w:space="0" w:color="auto"/>
          </w:divBdr>
        </w:div>
        <w:div w:id="1718814465">
          <w:marLeft w:val="0"/>
          <w:marRight w:val="0"/>
          <w:marTop w:val="0"/>
          <w:marBottom w:val="0"/>
          <w:divBdr>
            <w:top w:val="none" w:sz="0" w:space="0" w:color="auto"/>
            <w:left w:val="none" w:sz="0" w:space="0" w:color="auto"/>
            <w:bottom w:val="none" w:sz="0" w:space="0" w:color="auto"/>
            <w:right w:val="none" w:sz="0" w:space="0" w:color="auto"/>
          </w:divBdr>
        </w:div>
        <w:div w:id="1784694268">
          <w:marLeft w:val="0"/>
          <w:marRight w:val="0"/>
          <w:marTop w:val="0"/>
          <w:marBottom w:val="0"/>
          <w:divBdr>
            <w:top w:val="none" w:sz="0" w:space="0" w:color="auto"/>
            <w:left w:val="none" w:sz="0" w:space="0" w:color="auto"/>
            <w:bottom w:val="none" w:sz="0" w:space="0" w:color="auto"/>
            <w:right w:val="none" w:sz="0" w:space="0" w:color="auto"/>
          </w:divBdr>
        </w:div>
        <w:div w:id="1928809574">
          <w:marLeft w:val="0"/>
          <w:marRight w:val="0"/>
          <w:marTop w:val="0"/>
          <w:marBottom w:val="0"/>
          <w:divBdr>
            <w:top w:val="none" w:sz="0" w:space="0" w:color="auto"/>
            <w:left w:val="none" w:sz="0" w:space="0" w:color="auto"/>
            <w:bottom w:val="none" w:sz="0" w:space="0" w:color="auto"/>
            <w:right w:val="none" w:sz="0" w:space="0" w:color="auto"/>
          </w:divBdr>
        </w:div>
        <w:div w:id="1968660721">
          <w:marLeft w:val="0"/>
          <w:marRight w:val="0"/>
          <w:marTop w:val="0"/>
          <w:marBottom w:val="0"/>
          <w:divBdr>
            <w:top w:val="none" w:sz="0" w:space="0" w:color="auto"/>
            <w:left w:val="none" w:sz="0" w:space="0" w:color="auto"/>
            <w:bottom w:val="none" w:sz="0" w:space="0" w:color="auto"/>
            <w:right w:val="none" w:sz="0" w:space="0" w:color="auto"/>
          </w:divBdr>
        </w:div>
      </w:divsChild>
    </w:div>
    <w:div w:id="1885096079">
      <w:bodyDiv w:val="1"/>
      <w:marLeft w:val="0"/>
      <w:marRight w:val="0"/>
      <w:marTop w:val="0"/>
      <w:marBottom w:val="0"/>
      <w:divBdr>
        <w:top w:val="none" w:sz="0" w:space="0" w:color="auto"/>
        <w:left w:val="none" w:sz="0" w:space="0" w:color="auto"/>
        <w:bottom w:val="none" w:sz="0" w:space="0" w:color="auto"/>
        <w:right w:val="none" w:sz="0" w:space="0" w:color="auto"/>
      </w:divBdr>
      <w:divsChild>
        <w:div w:id="401879045">
          <w:marLeft w:val="0"/>
          <w:marRight w:val="0"/>
          <w:marTop w:val="0"/>
          <w:marBottom w:val="0"/>
          <w:divBdr>
            <w:top w:val="none" w:sz="0" w:space="0" w:color="auto"/>
            <w:left w:val="none" w:sz="0" w:space="0" w:color="auto"/>
            <w:bottom w:val="none" w:sz="0" w:space="0" w:color="auto"/>
            <w:right w:val="none" w:sz="0" w:space="0" w:color="auto"/>
          </w:divBdr>
        </w:div>
        <w:div w:id="419178931">
          <w:marLeft w:val="0"/>
          <w:marRight w:val="0"/>
          <w:marTop w:val="0"/>
          <w:marBottom w:val="0"/>
          <w:divBdr>
            <w:top w:val="none" w:sz="0" w:space="0" w:color="auto"/>
            <w:left w:val="none" w:sz="0" w:space="0" w:color="auto"/>
            <w:bottom w:val="none" w:sz="0" w:space="0" w:color="auto"/>
            <w:right w:val="none" w:sz="0" w:space="0" w:color="auto"/>
          </w:divBdr>
        </w:div>
        <w:div w:id="1116800009">
          <w:marLeft w:val="0"/>
          <w:marRight w:val="0"/>
          <w:marTop w:val="0"/>
          <w:marBottom w:val="0"/>
          <w:divBdr>
            <w:top w:val="none" w:sz="0" w:space="0" w:color="auto"/>
            <w:left w:val="none" w:sz="0" w:space="0" w:color="auto"/>
            <w:bottom w:val="none" w:sz="0" w:space="0" w:color="auto"/>
            <w:right w:val="none" w:sz="0" w:space="0" w:color="auto"/>
          </w:divBdr>
        </w:div>
        <w:div w:id="1117913204">
          <w:marLeft w:val="0"/>
          <w:marRight w:val="0"/>
          <w:marTop w:val="0"/>
          <w:marBottom w:val="0"/>
          <w:divBdr>
            <w:top w:val="none" w:sz="0" w:space="0" w:color="auto"/>
            <w:left w:val="none" w:sz="0" w:space="0" w:color="auto"/>
            <w:bottom w:val="none" w:sz="0" w:space="0" w:color="auto"/>
            <w:right w:val="none" w:sz="0" w:space="0" w:color="auto"/>
          </w:divBdr>
        </w:div>
        <w:div w:id="1175682010">
          <w:marLeft w:val="0"/>
          <w:marRight w:val="0"/>
          <w:marTop w:val="0"/>
          <w:marBottom w:val="0"/>
          <w:divBdr>
            <w:top w:val="none" w:sz="0" w:space="0" w:color="auto"/>
            <w:left w:val="none" w:sz="0" w:space="0" w:color="auto"/>
            <w:bottom w:val="none" w:sz="0" w:space="0" w:color="auto"/>
            <w:right w:val="none" w:sz="0" w:space="0" w:color="auto"/>
          </w:divBdr>
        </w:div>
        <w:div w:id="1294362790">
          <w:marLeft w:val="0"/>
          <w:marRight w:val="0"/>
          <w:marTop w:val="0"/>
          <w:marBottom w:val="0"/>
          <w:divBdr>
            <w:top w:val="none" w:sz="0" w:space="0" w:color="auto"/>
            <w:left w:val="none" w:sz="0" w:space="0" w:color="auto"/>
            <w:bottom w:val="none" w:sz="0" w:space="0" w:color="auto"/>
            <w:right w:val="none" w:sz="0" w:space="0" w:color="auto"/>
          </w:divBdr>
        </w:div>
        <w:div w:id="2094888160">
          <w:marLeft w:val="0"/>
          <w:marRight w:val="0"/>
          <w:marTop w:val="0"/>
          <w:marBottom w:val="0"/>
          <w:divBdr>
            <w:top w:val="none" w:sz="0" w:space="0" w:color="auto"/>
            <w:left w:val="none" w:sz="0" w:space="0" w:color="auto"/>
            <w:bottom w:val="none" w:sz="0" w:space="0" w:color="auto"/>
            <w:right w:val="none" w:sz="0" w:space="0" w:color="auto"/>
          </w:divBdr>
        </w:div>
      </w:divsChild>
    </w:div>
    <w:div w:id="1899434891">
      <w:bodyDiv w:val="1"/>
      <w:marLeft w:val="0"/>
      <w:marRight w:val="0"/>
      <w:marTop w:val="0"/>
      <w:marBottom w:val="0"/>
      <w:divBdr>
        <w:top w:val="none" w:sz="0" w:space="0" w:color="auto"/>
        <w:left w:val="none" w:sz="0" w:space="0" w:color="auto"/>
        <w:bottom w:val="none" w:sz="0" w:space="0" w:color="auto"/>
        <w:right w:val="none" w:sz="0" w:space="0" w:color="auto"/>
      </w:divBdr>
      <w:divsChild>
        <w:div w:id="117455774">
          <w:marLeft w:val="0"/>
          <w:marRight w:val="0"/>
          <w:marTop w:val="0"/>
          <w:marBottom w:val="0"/>
          <w:divBdr>
            <w:top w:val="none" w:sz="0" w:space="0" w:color="auto"/>
            <w:left w:val="none" w:sz="0" w:space="0" w:color="auto"/>
            <w:bottom w:val="none" w:sz="0" w:space="0" w:color="auto"/>
            <w:right w:val="none" w:sz="0" w:space="0" w:color="auto"/>
          </w:divBdr>
        </w:div>
        <w:div w:id="984510491">
          <w:marLeft w:val="0"/>
          <w:marRight w:val="0"/>
          <w:marTop w:val="0"/>
          <w:marBottom w:val="0"/>
          <w:divBdr>
            <w:top w:val="none" w:sz="0" w:space="0" w:color="auto"/>
            <w:left w:val="none" w:sz="0" w:space="0" w:color="auto"/>
            <w:bottom w:val="none" w:sz="0" w:space="0" w:color="auto"/>
            <w:right w:val="none" w:sz="0" w:space="0" w:color="auto"/>
          </w:divBdr>
        </w:div>
        <w:div w:id="1926458292">
          <w:marLeft w:val="0"/>
          <w:marRight w:val="0"/>
          <w:marTop w:val="0"/>
          <w:marBottom w:val="0"/>
          <w:divBdr>
            <w:top w:val="none" w:sz="0" w:space="0" w:color="auto"/>
            <w:left w:val="none" w:sz="0" w:space="0" w:color="auto"/>
            <w:bottom w:val="none" w:sz="0" w:space="0" w:color="auto"/>
            <w:right w:val="none" w:sz="0" w:space="0" w:color="auto"/>
          </w:divBdr>
        </w:div>
        <w:div w:id="1947469594">
          <w:marLeft w:val="0"/>
          <w:marRight w:val="0"/>
          <w:marTop w:val="0"/>
          <w:marBottom w:val="0"/>
          <w:divBdr>
            <w:top w:val="none" w:sz="0" w:space="0" w:color="auto"/>
            <w:left w:val="none" w:sz="0" w:space="0" w:color="auto"/>
            <w:bottom w:val="none" w:sz="0" w:space="0" w:color="auto"/>
            <w:right w:val="none" w:sz="0" w:space="0" w:color="auto"/>
          </w:divBdr>
        </w:div>
      </w:divsChild>
    </w:div>
    <w:div w:id="1910379676">
      <w:bodyDiv w:val="1"/>
      <w:marLeft w:val="0"/>
      <w:marRight w:val="0"/>
      <w:marTop w:val="0"/>
      <w:marBottom w:val="0"/>
      <w:divBdr>
        <w:top w:val="none" w:sz="0" w:space="0" w:color="auto"/>
        <w:left w:val="none" w:sz="0" w:space="0" w:color="auto"/>
        <w:bottom w:val="none" w:sz="0" w:space="0" w:color="auto"/>
        <w:right w:val="none" w:sz="0" w:space="0" w:color="auto"/>
      </w:divBdr>
      <w:divsChild>
        <w:div w:id="198206004">
          <w:marLeft w:val="0"/>
          <w:marRight w:val="0"/>
          <w:marTop w:val="0"/>
          <w:marBottom w:val="0"/>
          <w:divBdr>
            <w:top w:val="none" w:sz="0" w:space="0" w:color="auto"/>
            <w:left w:val="none" w:sz="0" w:space="0" w:color="auto"/>
            <w:bottom w:val="none" w:sz="0" w:space="0" w:color="auto"/>
            <w:right w:val="none" w:sz="0" w:space="0" w:color="auto"/>
          </w:divBdr>
        </w:div>
        <w:div w:id="1405107667">
          <w:marLeft w:val="0"/>
          <w:marRight w:val="0"/>
          <w:marTop w:val="0"/>
          <w:marBottom w:val="0"/>
          <w:divBdr>
            <w:top w:val="none" w:sz="0" w:space="0" w:color="auto"/>
            <w:left w:val="none" w:sz="0" w:space="0" w:color="auto"/>
            <w:bottom w:val="none" w:sz="0" w:space="0" w:color="auto"/>
            <w:right w:val="none" w:sz="0" w:space="0" w:color="auto"/>
          </w:divBdr>
        </w:div>
        <w:div w:id="2071607522">
          <w:marLeft w:val="0"/>
          <w:marRight w:val="0"/>
          <w:marTop w:val="0"/>
          <w:marBottom w:val="0"/>
          <w:divBdr>
            <w:top w:val="none" w:sz="0" w:space="0" w:color="auto"/>
            <w:left w:val="none" w:sz="0" w:space="0" w:color="auto"/>
            <w:bottom w:val="none" w:sz="0" w:space="0" w:color="auto"/>
            <w:right w:val="none" w:sz="0" w:space="0" w:color="auto"/>
          </w:divBdr>
        </w:div>
      </w:divsChild>
    </w:div>
    <w:div w:id="1948345242">
      <w:bodyDiv w:val="1"/>
      <w:marLeft w:val="0"/>
      <w:marRight w:val="0"/>
      <w:marTop w:val="0"/>
      <w:marBottom w:val="0"/>
      <w:divBdr>
        <w:top w:val="none" w:sz="0" w:space="0" w:color="auto"/>
        <w:left w:val="none" w:sz="0" w:space="0" w:color="auto"/>
        <w:bottom w:val="none" w:sz="0" w:space="0" w:color="auto"/>
        <w:right w:val="none" w:sz="0" w:space="0" w:color="auto"/>
      </w:divBdr>
      <w:divsChild>
        <w:div w:id="134614916">
          <w:marLeft w:val="0"/>
          <w:marRight w:val="0"/>
          <w:marTop w:val="0"/>
          <w:marBottom w:val="0"/>
          <w:divBdr>
            <w:top w:val="none" w:sz="0" w:space="0" w:color="auto"/>
            <w:left w:val="none" w:sz="0" w:space="0" w:color="auto"/>
            <w:bottom w:val="none" w:sz="0" w:space="0" w:color="auto"/>
            <w:right w:val="none" w:sz="0" w:space="0" w:color="auto"/>
          </w:divBdr>
        </w:div>
        <w:div w:id="270167960">
          <w:marLeft w:val="0"/>
          <w:marRight w:val="0"/>
          <w:marTop w:val="0"/>
          <w:marBottom w:val="0"/>
          <w:divBdr>
            <w:top w:val="none" w:sz="0" w:space="0" w:color="auto"/>
            <w:left w:val="none" w:sz="0" w:space="0" w:color="auto"/>
            <w:bottom w:val="none" w:sz="0" w:space="0" w:color="auto"/>
            <w:right w:val="none" w:sz="0" w:space="0" w:color="auto"/>
          </w:divBdr>
        </w:div>
        <w:div w:id="318272209">
          <w:marLeft w:val="0"/>
          <w:marRight w:val="0"/>
          <w:marTop w:val="0"/>
          <w:marBottom w:val="0"/>
          <w:divBdr>
            <w:top w:val="none" w:sz="0" w:space="0" w:color="auto"/>
            <w:left w:val="none" w:sz="0" w:space="0" w:color="auto"/>
            <w:bottom w:val="none" w:sz="0" w:space="0" w:color="auto"/>
            <w:right w:val="none" w:sz="0" w:space="0" w:color="auto"/>
          </w:divBdr>
        </w:div>
        <w:div w:id="665087633">
          <w:marLeft w:val="0"/>
          <w:marRight w:val="0"/>
          <w:marTop w:val="0"/>
          <w:marBottom w:val="0"/>
          <w:divBdr>
            <w:top w:val="none" w:sz="0" w:space="0" w:color="auto"/>
            <w:left w:val="none" w:sz="0" w:space="0" w:color="auto"/>
            <w:bottom w:val="none" w:sz="0" w:space="0" w:color="auto"/>
            <w:right w:val="none" w:sz="0" w:space="0" w:color="auto"/>
          </w:divBdr>
        </w:div>
        <w:div w:id="760569895">
          <w:marLeft w:val="0"/>
          <w:marRight w:val="0"/>
          <w:marTop w:val="0"/>
          <w:marBottom w:val="0"/>
          <w:divBdr>
            <w:top w:val="none" w:sz="0" w:space="0" w:color="auto"/>
            <w:left w:val="none" w:sz="0" w:space="0" w:color="auto"/>
            <w:bottom w:val="none" w:sz="0" w:space="0" w:color="auto"/>
            <w:right w:val="none" w:sz="0" w:space="0" w:color="auto"/>
          </w:divBdr>
        </w:div>
        <w:div w:id="955716335">
          <w:marLeft w:val="0"/>
          <w:marRight w:val="0"/>
          <w:marTop w:val="0"/>
          <w:marBottom w:val="0"/>
          <w:divBdr>
            <w:top w:val="none" w:sz="0" w:space="0" w:color="auto"/>
            <w:left w:val="none" w:sz="0" w:space="0" w:color="auto"/>
            <w:bottom w:val="none" w:sz="0" w:space="0" w:color="auto"/>
            <w:right w:val="none" w:sz="0" w:space="0" w:color="auto"/>
          </w:divBdr>
        </w:div>
        <w:div w:id="964773682">
          <w:marLeft w:val="0"/>
          <w:marRight w:val="0"/>
          <w:marTop w:val="0"/>
          <w:marBottom w:val="0"/>
          <w:divBdr>
            <w:top w:val="none" w:sz="0" w:space="0" w:color="auto"/>
            <w:left w:val="none" w:sz="0" w:space="0" w:color="auto"/>
            <w:bottom w:val="none" w:sz="0" w:space="0" w:color="auto"/>
            <w:right w:val="none" w:sz="0" w:space="0" w:color="auto"/>
          </w:divBdr>
        </w:div>
        <w:div w:id="1142187289">
          <w:marLeft w:val="0"/>
          <w:marRight w:val="0"/>
          <w:marTop w:val="0"/>
          <w:marBottom w:val="0"/>
          <w:divBdr>
            <w:top w:val="none" w:sz="0" w:space="0" w:color="auto"/>
            <w:left w:val="none" w:sz="0" w:space="0" w:color="auto"/>
            <w:bottom w:val="none" w:sz="0" w:space="0" w:color="auto"/>
            <w:right w:val="none" w:sz="0" w:space="0" w:color="auto"/>
          </w:divBdr>
        </w:div>
        <w:div w:id="1222592978">
          <w:marLeft w:val="0"/>
          <w:marRight w:val="0"/>
          <w:marTop w:val="0"/>
          <w:marBottom w:val="0"/>
          <w:divBdr>
            <w:top w:val="none" w:sz="0" w:space="0" w:color="auto"/>
            <w:left w:val="none" w:sz="0" w:space="0" w:color="auto"/>
            <w:bottom w:val="none" w:sz="0" w:space="0" w:color="auto"/>
            <w:right w:val="none" w:sz="0" w:space="0" w:color="auto"/>
          </w:divBdr>
        </w:div>
        <w:div w:id="1258096836">
          <w:marLeft w:val="0"/>
          <w:marRight w:val="0"/>
          <w:marTop w:val="0"/>
          <w:marBottom w:val="0"/>
          <w:divBdr>
            <w:top w:val="none" w:sz="0" w:space="0" w:color="auto"/>
            <w:left w:val="none" w:sz="0" w:space="0" w:color="auto"/>
            <w:bottom w:val="none" w:sz="0" w:space="0" w:color="auto"/>
            <w:right w:val="none" w:sz="0" w:space="0" w:color="auto"/>
          </w:divBdr>
        </w:div>
        <w:div w:id="1275484132">
          <w:marLeft w:val="0"/>
          <w:marRight w:val="0"/>
          <w:marTop w:val="0"/>
          <w:marBottom w:val="0"/>
          <w:divBdr>
            <w:top w:val="none" w:sz="0" w:space="0" w:color="auto"/>
            <w:left w:val="none" w:sz="0" w:space="0" w:color="auto"/>
            <w:bottom w:val="none" w:sz="0" w:space="0" w:color="auto"/>
            <w:right w:val="none" w:sz="0" w:space="0" w:color="auto"/>
          </w:divBdr>
        </w:div>
        <w:div w:id="1344936279">
          <w:marLeft w:val="0"/>
          <w:marRight w:val="0"/>
          <w:marTop w:val="0"/>
          <w:marBottom w:val="0"/>
          <w:divBdr>
            <w:top w:val="none" w:sz="0" w:space="0" w:color="auto"/>
            <w:left w:val="none" w:sz="0" w:space="0" w:color="auto"/>
            <w:bottom w:val="none" w:sz="0" w:space="0" w:color="auto"/>
            <w:right w:val="none" w:sz="0" w:space="0" w:color="auto"/>
          </w:divBdr>
        </w:div>
        <w:div w:id="1352416015">
          <w:marLeft w:val="0"/>
          <w:marRight w:val="0"/>
          <w:marTop w:val="0"/>
          <w:marBottom w:val="0"/>
          <w:divBdr>
            <w:top w:val="none" w:sz="0" w:space="0" w:color="auto"/>
            <w:left w:val="none" w:sz="0" w:space="0" w:color="auto"/>
            <w:bottom w:val="none" w:sz="0" w:space="0" w:color="auto"/>
            <w:right w:val="none" w:sz="0" w:space="0" w:color="auto"/>
          </w:divBdr>
        </w:div>
        <w:div w:id="1469207852">
          <w:marLeft w:val="0"/>
          <w:marRight w:val="0"/>
          <w:marTop w:val="0"/>
          <w:marBottom w:val="0"/>
          <w:divBdr>
            <w:top w:val="none" w:sz="0" w:space="0" w:color="auto"/>
            <w:left w:val="none" w:sz="0" w:space="0" w:color="auto"/>
            <w:bottom w:val="none" w:sz="0" w:space="0" w:color="auto"/>
            <w:right w:val="none" w:sz="0" w:space="0" w:color="auto"/>
          </w:divBdr>
        </w:div>
        <w:div w:id="1493638705">
          <w:marLeft w:val="0"/>
          <w:marRight w:val="0"/>
          <w:marTop w:val="0"/>
          <w:marBottom w:val="0"/>
          <w:divBdr>
            <w:top w:val="none" w:sz="0" w:space="0" w:color="auto"/>
            <w:left w:val="none" w:sz="0" w:space="0" w:color="auto"/>
            <w:bottom w:val="none" w:sz="0" w:space="0" w:color="auto"/>
            <w:right w:val="none" w:sz="0" w:space="0" w:color="auto"/>
          </w:divBdr>
        </w:div>
        <w:div w:id="1556039947">
          <w:marLeft w:val="0"/>
          <w:marRight w:val="0"/>
          <w:marTop w:val="0"/>
          <w:marBottom w:val="0"/>
          <w:divBdr>
            <w:top w:val="none" w:sz="0" w:space="0" w:color="auto"/>
            <w:left w:val="none" w:sz="0" w:space="0" w:color="auto"/>
            <w:bottom w:val="none" w:sz="0" w:space="0" w:color="auto"/>
            <w:right w:val="none" w:sz="0" w:space="0" w:color="auto"/>
          </w:divBdr>
        </w:div>
        <w:div w:id="1576092450">
          <w:marLeft w:val="0"/>
          <w:marRight w:val="0"/>
          <w:marTop w:val="0"/>
          <w:marBottom w:val="0"/>
          <w:divBdr>
            <w:top w:val="none" w:sz="0" w:space="0" w:color="auto"/>
            <w:left w:val="none" w:sz="0" w:space="0" w:color="auto"/>
            <w:bottom w:val="none" w:sz="0" w:space="0" w:color="auto"/>
            <w:right w:val="none" w:sz="0" w:space="0" w:color="auto"/>
          </w:divBdr>
        </w:div>
        <w:div w:id="1687320296">
          <w:marLeft w:val="0"/>
          <w:marRight w:val="0"/>
          <w:marTop w:val="0"/>
          <w:marBottom w:val="0"/>
          <w:divBdr>
            <w:top w:val="none" w:sz="0" w:space="0" w:color="auto"/>
            <w:left w:val="none" w:sz="0" w:space="0" w:color="auto"/>
            <w:bottom w:val="none" w:sz="0" w:space="0" w:color="auto"/>
            <w:right w:val="none" w:sz="0" w:space="0" w:color="auto"/>
          </w:divBdr>
        </w:div>
        <w:div w:id="1761438885">
          <w:marLeft w:val="0"/>
          <w:marRight w:val="0"/>
          <w:marTop w:val="0"/>
          <w:marBottom w:val="0"/>
          <w:divBdr>
            <w:top w:val="none" w:sz="0" w:space="0" w:color="auto"/>
            <w:left w:val="none" w:sz="0" w:space="0" w:color="auto"/>
            <w:bottom w:val="none" w:sz="0" w:space="0" w:color="auto"/>
            <w:right w:val="none" w:sz="0" w:space="0" w:color="auto"/>
          </w:divBdr>
        </w:div>
        <w:div w:id="1797142761">
          <w:marLeft w:val="0"/>
          <w:marRight w:val="0"/>
          <w:marTop w:val="0"/>
          <w:marBottom w:val="0"/>
          <w:divBdr>
            <w:top w:val="none" w:sz="0" w:space="0" w:color="auto"/>
            <w:left w:val="none" w:sz="0" w:space="0" w:color="auto"/>
            <w:bottom w:val="none" w:sz="0" w:space="0" w:color="auto"/>
            <w:right w:val="none" w:sz="0" w:space="0" w:color="auto"/>
          </w:divBdr>
        </w:div>
      </w:divsChild>
    </w:div>
    <w:div w:id="1951355116">
      <w:bodyDiv w:val="1"/>
      <w:marLeft w:val="0"/>
      <w:marRight w:val="0"/>
      <w:marTop w:val="0"/>
      <w:marBottom w:val="0"/>
      <w:divBdr>
        <w:top w:val="none" w:sz="0" w:space="0" w:color="auto"/>
        <w:left w:val="none" w:sz="0" w:space="0" w:color="auto"/>
        <w:bottom w:val="none" w:sz="0" w:space="0" w:color="auto"/>
        <w:right w:val="none" w:sz="0" w:space="0" w:color="auto"/>
      </w:divBdr>
      <w:divsChild>
        <w:div w:id="364259910">
          <w:marLeft w:val="0"/>
          <w:marRight w:val="0"/>
          <w:marTop w:val="0"/>
          <w:marBottom w:val="0"/>
          <w:divBdr>
            <w:top w:val="none" w:sz="0" w:space="0" w:color="auto"/>
            <w:left w:val="none" w:sz="0" w:space="0" w:color="auto"/>
            <w:bottom w:val="none" w:sz="0" w:space="0" w:color="auto"/>
            <w:right w:val="none" w:sz="0" w:space="0" w:color="auto"/>
          </w:divBdr>
        </w:div>
        <w:div w:id="516696624">
          <w:marLeft w:val="0"/>
          <w:marRight w:val="0"/>
          <w:marTop w:val="0"/>
          <w:marBottom w:val="0"/>
          <w:divBdr>
            <w:top w:val="none" w:sz="0" w:space="0" w:color="auto"/>
            <w:left w:val="none" w:sz="0" w:space="0" w:color="auto"/>
            <w:bottom w:val="none" w:sz="0" w:space="0" w:color="auto"/>
            <w:right w:val="none" w:sz="0" w:space="0" w:color="auto"/>
          </w:divBdr>
        </w:div>
        <w:div w:id="602765537">
          <w:marLeft w:val="0"/>
          <w:marRight w:val="0"/>
          <w:marTop w:val="0"/>
          <w:marBottom w:val="0"/>
          <w:divBdr>
            <w:top w:val="none" w:sz="0" w:space="0" w:color="auto"/>
            <w:left w:val="none" w:sz="0" w:space="0" w:color="auto"/>
            <w:bottom w:val="none" w:sz="0" w:space="0" w:color="auto"/>
            <w:right w:val="none" w:sz="0" w:space="0" w:color="auto"/>
          </w:divBdr>
        </w:div>
        <w:div w:id="616563116">
          <w:marLeft w:val="0"/>
          <w:marRight w:val="0"/>
          <w:marTop w:val="0"/>
          <w:marBottom w:val="0"/>
          <w:divBdr>
            <w:top w:val="none" w:sz="0" w:space="0" w:color="auto"/>
            <w:left w:val="none" w:sz="0" w:space="0" w:color="auto"/>
            <w:bottom w:val="none" w:sz="0" w:space="0" w:color="auto"/>
            <w:right w:val="none" w:sz="0" w:space="0" w:color="auto"/>
          </w:divBdr>
        </w:div>
        <w:div w:id="867909449">
          <w:marLeft w:val="0"/>
          <w:marRight w:val="0"/>
          <w:marTop w:val="0"/>
          <w:marBottom w:val="0"/>
          <w:divBdr>
            <w:top w:val="none" w:sz="0" w:space="0" w:color="auto"/>
            <w:left w:val="none" w:sz="0" w:space="0" w:color="auto"/>
            <w:bottom w:val="none" w:sz="0" w:space="0" w:color="auto"/>
            <w:right w:val="none" w:sz="0" w:space="0" w:color="auto"/>
          </w:divBdr>
        </w:div>
        <w:div w:id="883835272">
          <w:marLeft w:val="0"/>
          <w:marRight w:val="0"/>
          <w:marTop w:val="0"/>
          <w:marBottom w:val="0"/>
          <w:divBdr>
            <w:top w:val="none" w:sz="0" w:space="0" w:color="auto"/>
            <w:left w:val="none" w:sz="0" w:space="0" w:color="auto"/>
            <w:bottom w:val="none" w:sz="0" w:space="0" w:color="auto"/>
            <w:right w:val="none" w:sz="0" w:space="0" w:color="auto"/>
          </w:divBdr>
        </w:div>
        <w:div w:id="1240092747">
          <w:marLeft w:val="0"/>
          <w:marRight w:val="0"/>
          <w:marTop w:val="0"/>
          <w:marBottom w:val="0"/>
          <w:divBdr>
            <w:top w:val="none" w:sz="0" w:space="0" w:color="auto"/>
            <w:left w:val="none" w:sz="0" w:space="0" w:color="auto"/>
            <w:bottom w:val="none" w:sz="0" w:space="0" w:color="auto"/>
            <w:right w:val="none" w:sz="0" w:space="0" w:color="auto"/>
          </w:divBdr>
        </w:div>
        <w:div w:id="1402366474">
          <w:marLeft w:val="0"/>
          <w:marRight w:val="0"/>
          <w:marTop w:val="0"/>
          <w:marBottom w:val="0"/>
          <w:divBdr>
            <w:top w:val="none" w:sz="0" w:space="0" w:color="auto"/>
            <w:left w:val="none" w:sz="0" w:space="0" w:color="auto"/>
            <w:bottom w:val="none" w:sz="0" w:space="0" w:color="auto"/>
            <w:right w:val="none" w:sz="0" w:space="0" w:color="auto"/>
          </w:divBdr>
        </w:div>
        <w:div w:id="1768234104">
          <w:marLeft w:val="0"/>
          <w:marRight w:val="0"/>
          <w:marTop w:val="0"/>
          <w:marBottom w:val="0"/>
          <w:divBdr>
            <w:top w:val="none" w:sz="0" w:space="0" w:color="auto"/>
            <w:left w:val="none" w:sz="0" w:space="0" w:color="auto"/>
            <w:bottom w:val="none" w:sz="0" w:space="0" w:color="auto"/>
            <w:right w:val="none" w:sz="0" w:space="0" w:color="auto"/>
          </w:divBdr>
        </w:div>
        <w:div w:id="2052488579">
          <w:marLeft w:val="0"/>
          <w:marRight w:val="0"/>
          <w:marTop w:val="0"/>
          <w:marBottom w:val="0"/>
          <w:divBdr>
            <w:top w:val="none" w:sz="0" w:space="0" w:color="auto"/>
            <w:left w:val="none" w:sz="0" w:space="0" w:color="auto"/>
            <w:bottom w:val="none" w:sz="0" w:space="0" w:color="auto"/>
            <w:right w:val="none" w:sz="0" w:space="0" w:color="auto"/>
          </w:divBdr>
        </w:div>
      </w:divsChild>
    </w:div>
    <w:div w:id="1957371296">
      <w:bodyDiv w:val="1"/>
      <w:marLeft w:val="0"/>
      <w:marRight w:val="0"/>
      <w:marTop w:val="0"/>
      <w:marBottom w:val="0"/>
      <w:divBdr>
        <w:top w:val="none" w:sz="0" w:space="0" w:color="auto"/>
        <w:left w:val="none" w:sz="0" w:space="0" w:color="auto"/>
        <w:bottom w:val="none" w:sz="0" w:space="0" w:color="auto"/>
        <w:right w:val="none" w:sz="0" w:space="0" w:color="auto"/>
      </w:divBdr>
      <w:divsChild>
        <w:div w:id="1421170847">
          <w:marLeft w:val="0"/>
          <w:marRight w:val="0"/>
          <w:marTop w:val="0"/>
          <w:marBottom w:val="0"/>
          <w:divBdr>
            <w:top w:val="none" w:sz="0" w:space="0" w:color="auto"/>
            <w:left w:val="none" w:sz="0" w:space="0" w:color="auto"/>
            <w:bottom w:val="none" w:sz="0" w:space="0" w:color="auto"/>
            <w:right w:val="none" w:sz="0" w:space="0" w:color="auto"/>
          </w:divBdr>
        </w:div>
        <w:div w:id="1488128884">
          <w:marLeft w:val="0"/>
          <w:marRight w:val="0"/>
          <w:marTop w:val="0"/>
          <w:marBottom w:val="0"/>
          <w:divBdr>
            <w:top w:val="none" w:sz="0" w:space="0" w:color="auto"/>
            <w:left w:val="none" w:sz="0" w:space="0" w:color="auto"/>
            <w:bottom w:val="none" w:sz="0" w:space="0" w:color="auto"/>
            <w:right w:val="none" w:sz="0" w:space="0" w:color="auto"/>
          </w:divBdr>
        </w:div>
        <w:div w:id="1602568112">
          <w:marLeft w:val="0"/>
          <w:marRight w:val="0"/>
          <w:marTop w:val="0"/>
          <w:marBottom w:val="0"/>
          <w:divBdr>
            <w:top w:val="none" w:sz="0" w:space="0" w:color="auto"/>
            <w:left w:val="none" w:sz="0" w:space="0" w:color="auto"/>
            <w:bottom w:val="none" w:sz="0" w:space="0" w:color="auto"/>
            <w:right w:val="none" w:sz="0" w:space="0" w:color="auto"/>
          </w:divBdr>
        </w:div>
      </w:divsChild>
    </w:div>
    <w:div w:id="1988515493">
      <w:bodyDiv w:val="1"/>
      <w:marLeft w:val="0"/>
      <w:marRight w:val="0"/>
      <w:marTop w:val="0"/>
      <w:marBottom w:val="0"/>
      <w:divBdr>
        <w:top w:val="none" w:sz="0" w:space="0" w:color="auto"/>
        <w:left w:val="none" w:sz="0" w:space="0" w:color="auto"/>
        <w:bottom w:val="none" w:sz="0" w:space="0" w:color="auto"/>
        <w:right w:val="none" w:sz="0" w:space="0" w:color="auto"/>
      </w:divBdr>
      <w:divsChild>
        <w:div w:id="193269235">
          <w:marLeft w:val="0"/>
          <w:marRight w:val="0"/>
          <w:marTop w:val="0"/>
          <w:marBottom w:val="0"/>
          <w:divBdr>
            <w:top w:val="none" w:sz="0" w:space="0" w:color="auto"/>
            <w:left w:val="none" w:sz="0" w:space="0" w:color="auto"/>
            <w:bottom w:val="none" w:sz="0" w:space="0" w:color="auto"/>
            <w:right w:val="none" w:sz="0" w:space="0" w:color="auto"/>
          </w:divBdr>
        </w:div>
        <w:div w:id="651298476">
          <w:marLeft w:val="0"/>
          <w:marRight w:val="0"/>
          <w:marTop w:val="0"/>
          <w:marBottom w:val="0"/>
          <w:divBdr>
            <w:top w:val="none" w:sz="0" w:space="0" w:color="auto"/>
            <w:left w:val="none" w:sz="0" w:space="0" w:color="auto"/>
            <w:bottom w:val="none" w:sz="0" w:space="0" w:color="auto"/>
            <w:right w:val="none" w:sz="0" w:space="0" w:color="auto"/>
          </w:divBdr>
        </w:div>
        <w:div w:id="1822848172">
          <w:marLeft w:val="0"/>
          <w:marRight w:val="0"/>
          <w:marTop w:val="0"/>
          <w:marBottom w:val="0"/>
          <w:divBdr>
            <w:top w:val="none" w:sz="0" w:space="0" w:color="auto"/>
            <w:left w:val="none" w:sz="0" w:space="0" w:color="auto"/>
            <w:bottom w:val="none" w:sz="0" w:space="0" w:color="auto"/>
            <w:right w:val="none" w:sz="0" w:space="0" w:color="auto"/>
          </w:divBdr>
        </w:div>
        <w:div w:id="1955820822">
          <w:marLeft w:val="0"/>
          <w:marRight w:val="0"/>
          <w:marTop w:val="0"/>
          <w:marBottom w:val="0"/>
          <w:divBdr>
            <w:top w:val="none" w:sz="0" w:space="0" w:color="auto"/>
            <w:left w:val="none" w:sz="0" w:space="0" w:color="auto"/>
            <w:bottom w:val="none" w:sz="0" w:space="0" w:color="auto"/>
            <w:right w:val="none" w:sz="0" w:space="0" w:color="auto"/>
          </w:divBdr>
        </w:div>
      </w:divsChild>
    </w:div>
    <w:div w:id="2003317063">
      <w:bodyDiv w:val="1"/>
      <w:marLeft w:val="0"/>
      <w:marRight w:val="0"/>
      <w:marTop w:val="0"/>
      <w:marBottom w:val="0"/>
      <w:divBdr>
        <w:top w:val="none" w:sz="0" w:space="0" w:color="auto"/>
        <w:left w:val="none" w:sz="0" w:space="0" w:color="auto"/>
        <w:bottom w:val="none" w:sz="0" w:space="0" w:color="auto"/>
        <w:right w:val="none" w:sz="0" w:space="0" w:color="auto"/>
      </w:divBdr>
      <w:divsChild>
        <w:div w:id="73867505">
          <w:marLeft w:val="0"/>
          <w:marRight w:val="0"/>
          <w:marTop w:val="0"/>
          <w:marBottom w:val="0"/>
          <w:divBdr>
            <w:top w:val="none" w:sz="0" w:space="0" w:color="auto"/>
            <w:left w:val="none" w:sz="0" w:space="0" w:color="auto"/>
            <w:bottom w:val="none" w:sz="0" w:space="0" w:color="auto"/>
            <w:right w:val="none" w:sz="0" w:space="0" w:color="auto"/>
          </w:divBdr>
        </w:div>
        <w:div w:id="306477815">
          <w:marLeft w:val="0"/>
          <w:marRight w:val="0"/>
          <w:marTop w:val="0"/>
          <w:marBottom w:val="0"/>
          <w:divBdr>
            <w:top w:val="none" w:sz="0" w:space="0" w:color="auto"/>
            <w:left w:val="none" w:sz="0" w:space="0" w:color="auto"/>
            <w:bottom w:val="none" w:sz="0" w:space="0" w:color="auto"/>
            <w:right w:val="none" w:sz="0" w:space="0" w:color="auto"/>
          </w:divBdr>
        </w:div>
        <w:div w:id="843084532">
          <w:marLeft w:val="0"/>
          <w:marRight w:val="0"/>
          <w:marTop w:val="0"/>
          <w:marBottom w:val="0"/>
          <w:divBdr>
            <w:top w:val="none" w:sz="0" w:space="0" w:color="auto"/>
            <w:left w:val="none" w:sz="0" w:space="0" w:color="auto"/>
            <w:bottom w:val="none" w:sz="0" w:space="0" w:color="auto"/>
            <w:right w:val="none" w:sz="0" w:space="0" w:color="auto"/>
          </w:divBdr>
        </w:div>
        <w:div w:id="1280181114">
          <w:marLeft w:val="0"/>
          <w:marRight w:val="0"/>
          <w:marTop w:val="0"/>
          <w:marBottom w:val="0"/>
          <w:divBdr>
            <w:top w:val="none" w:sz="0" w:space="0" w:color="auto"/>
            <w:left w:val="none" w:sz="0" w:space="0" w:color="auto"/>
            <w:bottom w:val="none" w:sz="0" w:space="0" w:color="auto"/>
            <w:right w:val="none" w:sz="0" w:space="0" w:color="auto"/>
          </w:divBdr>
        </w:div>
        <w:div w:id="1494450154">
          <w:marLeft w:val="0"/>
          <w:marRight w:val="0"/>
          <w:marTop w:val="0"/>
          <w:marBottom w:val="0"/>
          <w:divBdr>
            <w:top w:val="none" w:sz="0" w:space="0" w:color="auto"/>
            <w:left w:val="none" w:sz="0" w:space="0" w:color="auto"/>
            <w:bottom w:val="none" w:sz="0" w:space="0" w:color="auto"/>
            <w:right w:val="none" w:sz="0" w:space="0" w:color="auto"/>
          </w:divBdr>
        </w:div>
        <w:div w:id="1593080695">
          <w:marLeft w:val="0"/>
          <w:marRight w:val="0"/>
          <w:marTop w:val="0"/>
          <w:marBottom w:val="0"/>
          <w:divBdr>
            <w:top w:val="none" w:sz="0" w:space="0" w:color="auto"/>
            <w:left w:val="none" w:sz="0" w:space="0" w:color="auto"/>
            <w:bottom w:val="none" w:sz="0" w:space="0" w:color="auto"/>
            <w:right w:val="none" w:sz="0" w:space="0" w:color="auto"/>
          </w:divBdr>
        </w:div>
        <w:div w:id="1757284923">
          <w:marLeft w:val="0"/>
          <w:marRight w:val="0"/>
          <w:marTop w:val="0"/>
          <w:marBottom w:val="0"/>
          <w:divBdr>
            <w:top w:val="none" w:sz="0" w:space="0" w:color="auto"/>
            <w:left w:val="none" w:sz="0" w:space="0" w:color="auto"/>
            <w:bottom w:val="none" w:sz="0" w:space="0" w:color="auto"/>
            <w:right w:val="none" w:sz="0" w:space="0" w:color="auto"/>
          </w:divBdr>
        </w:div>
      </w:divsChild>
    </w:div>
    <w:div w:id="2007593067">
      <w:bodyDiv w:val="1"/>
      <w:marLeft w:val="0"/>
      <w:marRight w:val="0"/>
      <w:marTop w:val="0"/>
      <w:marBottom w:val="0"/>
      <w:divBdr>
        <w:top w:val="none" w:sz="0" w:space="0" w:color="auto"/>
        <w:left w:val="none" w:sz="0" w:space="0" w:color="auto"/>
        <w:bottom w:val="none" w:sz="0" w:space="0" w:color="auto"/>
        <w:right w:val="none" w:sz="0" w:space="0" w:color="auto"/>
      </w:divBdr>
    </w:div>
    <w:div w:id="2012563186">
      <w:bodyDiv w:val="1"/>
      <w:marLeft w:val="0"/>
      <w:marRight w:val="0"/>
      <w:marTop w:val="0"/>
      <w:marBottom w:val="0"/>
      <w:divBdr>
        <w:top w:val="none" w:sz="0" w:space="0" w:color="auto"/>
        <w:left w:val="none" w:sz="0" w:space="0" w:color="auto"/>
        <w:bottom w:val="none" w:sz="0" w:space="0" w:color="auto"/>
        <w:right w:val="none" w:sz="0" w:space="0" w:color="auto"/>
      </w:divBdr>
    </w:div>
    <w:div w:id="2024280140">
      <w:bodyDiv w:val="1"/>
      <w:marLeft w:val="0"/>
      <w:marRight w:val="0"/>
      <w:marTop w:val="0"/>
      <w:marBottom w:val="0"/>
      <w:divBdr>
        <w:top w:val="none" w:sz="0" w:space="0" w:color="auto"/>
        <w:left w:val="none" w:sz="0" w:space="0" w:color="auto"/>
        <w:bottom w:val="none" w:sz="0" w:space="0" w:color="auto"/>
        <w:right w:val="none" w:sz="0" w:space="0" w:color="auto"/>
      </w:divBdr>
    </w:div>
    <w:div w:id="2026899460">
      <w:bodyDiv w:val="1"/>
      <w:marLeft w:val="0"/>
      <w:marRight w:val="0"/>
      <w:marTop w:val="0"/>
      <w:marBottom w:val="0"/>
      <w:divBdr>
        <w:top w:val="none" w:sz="0" w:space="0" w:color="auto"/>
        <w:left w:val="none" w:sz="0" w:space="0" w:color="auto"/>
        <w:bottom w:val="none" w:sz="0" w:space="0" w:color="auto"/>
        <w:right w:val="none" w:sz="0" w:space="0" w:color="auto"/>
      </w:divBdr>
      <w:divsChild>
        <w:div w:id="6445531">
          <w:marLeft w:val="0"/>
          <w:marRight w:val="0"/>
          <w:marTop w:val="0"/>
          <w:marBottom w:val="0"/>
          <w:divBdr>
            <w:top w:val="none" w:sz="0" w:space="0" w:color="auto"/>
            <w:left w:val="none" w:sz="0" w:space="0" w:color="auto"/>
            <w:bottom w:val="none" w:sz="0" w:space="0" w:color="auto"/>
            <w:right w:val="none" w:sz="0" w:space="0" w:color="auto"/>
          </w:divBdr>
        </w:div>
        <w:div w:id="27612457">
          <w:marLeft w:val="0"/>
          <w:marRight w:val="0"/>
          <w:marTop w:val="0"/>
          <w:marBottom w:val="0"/>
          <w:divBdr>
            <w:top w:val="none" w:sz="0" w:space="0" w:color="auto"/>
            <w:left w:val="none" w:sz="0" w:space="0" w:color="auto"/>
            <w:bottom w:val="none" w:sz="0" w:space="0" w:color="auto"/>
            <w:right w:val="none" w:sz="0" w:space="0" w:color="auto"/>
          </w:divBdr>
        </w:div>
        <w:div w:id="189807807">
          <w:marLeft w:val="0"/>
          <w:marRight w:val="0"/>
          <w:marTop w:val="0"/>
          <w:marBottom w:val="0"/>
          <w:divBdr>
            <w:top w:val="none" w:sz="0" w:space="0" w:color="auto"/>
            <w:left w:val="none" w:sz="0" w:space="0" w:color="auto"/>
            <w:bottom w:val="none" w:sz="0" w:space="0" w:color="auto"/>
            <w:right w:val="none" w:sz="0" w:space="0" w:color="auto"/>
          </w:divBdr>
        </w:div>
        <w:div w:id="229192591">
          <w:marLeft w:val="0"/>
          <w:marRight w:val="0"/>
          <w:marTop w:val="0"/>
          <w:marBottom w:val="0"/>
          <w:divBdr>
            <w:top w:val="none" w:sz="0" w:space="0" w:color="auto"/>
            <w:left w:val="none" w:sz="0" w:space="0" w:color="auto"/>
            <w:bottom w:val="none" w:sz="0" w:space="0" w:color="auto"/>
            <w:right w:val="none" w:sz="0" w:space="0" w:color="auto"/>
          </w:divBdr>
        </w:div>
        <w:div w:id="376856789">
          <w:marLeft w:val="0"/>
          <w:marRight w:val="0"/>
          <w:marTop w:val="0"/>
          <w:marBottom w:val="0"/>
          <w:divBdr>
            <w:top w:val="none" w:sz="0" w:space="0" w:color="auto"/>
            <w:left w:val="none" w:sz="0" w:space="0" w:color="auto"/>
            <w:bottom w:val="none" w:sz="0" w:space="0" w:color="auto"/>
            <w:right w:val="none" w:sz="0" w:space="0" w:color="auto"/>
          </w:divBdr>
        </w:div>
        <w:div w:id="482046000">
          <w:marLeft w:val="0"/>
          <w:marRight w:val="0"/>
          <w:marTop w:val="0"/>
          <w:marBottom w:val="0"/>
          <w:divBdr>
            <w:top w:val="none" w:sz="0" w:space="0" w:color="auto"/>
            <w:left w:val="none" w:sz="0" w:space="0" w:color="auto"/>
            <w:bottom w:val="none" w:sz="0" w:space="0" w:color="auto"/>
            <w:right w:val="none" w:sz="0" w:space="0" w:color="auto"/>
          </w:divBdr>
        </w:div>
        <w:div w:id="484593943">
          <w:marLeft w:val="0"/>
          <w:marRight w:val="0"/>
          <w:marTop w:val="0"/>
          <w:marBottom w:val="0"/>
          <w:divBdr>
            <w:top w:val="none" w:sz="0" w:space="0" w:color="auto"/>
            <w:left w:val="none" w:sz="0" w:space="0" w:color="auto"/>
            <w:bottom w:val="none" w:sz="0" w:space="0" w:color="auto"/>
            <w:right w:val="none" w:sz="0" w:space="0" w:color="auto"/>
          </w:divBdr>
        </w:div>
        <w:div w:id="610091450">
          <w:marLeft w:val="0"/>
          <w:marRight w:val="0"/>
          <w:marTop w:val="0"/>
          <w:marBottom w:val="0"/>
          <w:divBdr>
            <w:top w:val="none" w:sz="0" w:space="0" w:color="auto"/>
            <w:left w:val="none" w:sz="0" w:space="0" w:color="auto"/>
            <w:bottom w:val="none" w:sz="0" w:space="0" w:color="auto"/>
            <w:right w:val="none" w:sz="0" w:space="0" w:color="auto"/>
          </w:divBdr>
        </w:div>
        <w:div w:id="704520287">
          <w:marLeft w:val="0"/>
          <w:marRight w:val="0"/>
          <w:marTop w:val="0"/>
          <w:marBottom w:val="0"/>
          <w:divBdr>
            <w:top w:val="none" w:sz="0" w:space="0" w:color="auto"/>
            <w:left w:val="none" w:sz="0" w:space="0" w:color="auto"/>
            <w:bottom w:val="none" w:sz="0" w:space="0" w:color="auto"/>
            <w:right w:val="none" w:sz="0" w:space="0" w:color="auto"/>
          </w:divBdr>
        </w:div>
        <w:div w:id="727533052">
          <w:marLeft w:val="0"/>
          <w:marRight w:val="0"/>
          <w:marTop w:val="0"/>
          <w:marBottom w:val="0"/>
          <w:divBdr>
            <w:top w:val="none" w:sz="0" w:space="0" w:color="auto"/>
            <w:left w:val="none" w:sz="0" w:space="0" w:color="auto"/>
            <w:bottom w:val="none" w:sz="0" w:space="0" w:color="auto"/>
            <w:right w:val="none" w:sz="0" w:space="0" w:color="auto"/>
          </w:divBdr>
        </w:div>
        <w:div w:id="779446268">
          <w:marLeft w:val="0"/>
          <w:marRight w:val="0"/>
          <w:marTop w:val="0"/>
          <w:marBottom w:val="0"/>
          <w:divBdr>
            <w:top w:val="none" w:sz="0" w:space="0" w:color="auto"/>
            <w:left w:val="none" w:sz="0" w:space="0" w:color="auto"/>
            <w:bottom w:val="none" w:sz="0" w:space="0" w:color="auto"/>
            <w:right w:val="none" w:sz="0" w:space="0" w:color="auto"/>
          </w:divBdr>
        </w:div>
        <w:div w:id="812017102">
          <w:marLeft w:val="0"/>
          <w:marRight w:val="0"/>
          <w:marTop w:val="0"/>
          <w:marBottom w:val="0"/>
          <w:divBdr>
            <w:top w:val="none" w:sz="0" w:space="0" w:color="auto"/>
            <w:left w:val="none" w:sz="0" w:space="0" w:color="auto"/>
            <w:bottom w:val="none" w:sz="0" w:space="0" w:color="auto"/>
            <w:right w:val="none" w:sz="0" w:space="0" w:color="auto"/>
          </w:divBdr>
        </w:div>
        <w:div w:id="881748950">
          <w:marLeft w:val="0"/>
          <w:marRight w:val="0"/>
          <w:marTop w:val="0"/>
          <w:marBottom w:val="0"/>
          <w:divBdr>
            <w:top w:val="none" w:sz="0" w:space="0" w:color="auto"/>
            <w:left w:val="none" w:sz="0" w:space="0" w:color="auto"/>
            <w:bottom w:val="none" w:sz="0" w:space="0" w:color="auto"/>
            <w:right w:val="none" w:sz="0" w:space="0" w:color="auto"/>
          </w:divBdr>
        </w:div>
        <w:div w:id="899637505">
          <w:marLeft w:val="0"/>
          <w:marRight w:val="0"/>
          <w:marTop w:val="0"/>
          <w:marBottom w:val="0"/>
          <w:divBdr>
            <w:top w:val="none" w:sz="0" w:space="0" w:color="auto"/>
            <w:left w:val="none" w:sz="0" w:space="0" w:color="auto"/>
            <w:bottom w:val="none" w:sz="0" w:space="0" w:color="auto"/>
            <w:right w:val="none" w:sz="0" w:space="0" w:color="auto"/>
          </w:divBdr>
        </w:div>
        <w:div w:id="1022584982">
          <w:marLeft w:val="0"/>
          <w:marRight w:val="0"/>
          <w:marTop w:val="0"/>
          <w:marBottom w:val="0"/>
          <w:divBdr>
            <w:top w:val="none" w:sz="0" w:space="0" w:color="auto"/>
            <w:left w:val="none" w:sz="0" w:space="0" w:color="auto"/>
            <w:bottom w:val="none" w:sz="0" w:space="0" w:color="auto"/>
            <w:right w:val="none" w:sz="0" w:space="0" w:color="auto"/>
          </w:divBdr>
        </w:div>
        <w:div w:id="1088308000">
          <w:marLeft w:val="0"/>
          <w:marRight w:val="0"/>
          <w:marTop w:val="0"/>
          <w:marBottom w:val="0"/>
          <w:divBdr>
            <w:top w:val="none" w:sz="0" w:space="0" w:color="auto"/>
            <w:left w:val="none" w:sz="0" w:space="0" w:color="auto"/>
            <w:bottom w:val="none" w:sz="0" w:space="0" w:color="auto"/>
            <w:right w:val="none" w:sz="0" w:space="0" w:color="auto"/>
          </w:divBdr>
        </w:div>
        <w:div w:id="1299604369">
          <w:marLeft w:val="0"/>
          <w:marRight w:val="0"/>
          <w:marTop w:val="0"/>
          <w:marBottom w:val="0"/>
          <w:divBdr>
            <w:top w:val="none" w:sz="0" w:space="0" w:color="auto"/>
            <w:left w:val="none" w:sz="0" w:space="0" w:color="auto"/>
            <w:bottom w:val="none" w:sz="0" w:space="0" w:color="auto"/>
            <w:right w:val="none" w:sz="0" w:space="0" w:color="auto"/>
          </w:divBdr>
        </w:div>
        <w:div w:id="1301307450">
          <w:marLeft w:val="0"/>
          <w:marRight w:val="0"/>
          <w:marTop w:val="0"/>
          <w:marBottom w:val="0"/>
          <w:divBdr>
            <w:top w:val="none" w:sz="0" w:space="0" w:color="auto"/>
            <w:left w:val="none" w:sz="0" w:space="0" w:color="auto"/>
            <w:bottom w:val="none" w:sz="0" w:space="0" w:color="auto"/>
            <w:right w:val="none" w:sz="0" w:space="0" w:color="auto"/>
          </w:divBdr>
        </w:div>
        <w:div w:id="1484589151">
          <w:marLeft w:val="0"/>
          <w:marRight w:val="0"/>
          <w:marTop w:val="0"/>
          <w:marBottom w:val="0"/>
          <w:divBdr>
            <w:top w:val="none" w:sz="0" w:space="0" w:color="auto"/>
            <w:left w:val="none" w:sz="0" w:space="0" w:color="auto"/>
            <w:bottom w:val="none" w:sz="0" w:space="0" w:color="auto"/>
            <w:right w:val="none" w:sz="0" w:space="0" w:color="auto"/>
          </w:divBdr>
        </w:div>
        <w:div w:id="1650014036">
          <w:marLeft w:val="0"/>
          <w:marRight w:val="0"/>
          <w:marTop w:val="0"/>
          <w:marBottom w:val="0"/>
          <w:divBdr>
            <w:top w:val="none" w:sz="0" w:space="0" w:color="auto"/>
            <w:left w:val="none" w:sz="0" w:space="0" w:color="auto"/>
            <w:bottom w:val="none" w:sz="0" w:space="0" w:color="auto"/>
            <w:right w:val="none" w:sz="0" w:space="0" w:color="auto"/>
          </w:divBdr>
        </w:div>
        <w:div w:id="1673483855">
          <w:marLeft w:val="0"/>
          <w:marRight w:val="0"/>
          <w:marTop w:val="0"/>
          <w:marBottom w:val="0"/>
          <w:divBdr>
            <w:top w:val="none" w:sz="0" w:space="0" w:color="auto"/>
            <w:left w:val="none" w:sz="0" w:space="0" w:color="auto"/>
            <w:bottom w:val="none" w:sz="0" w:space="0" w:color="auto"/>
            <w:right w:val="none" w:sz="0" w:space="0" w:color="auto"/>
          </w:divBdr>
        </w:div>
        <w:div w:id="1697538279">
          <w:marLeft w:val="0"/>
          <w:marRight w:val="0"/>
          <w:marTop w:val="0"/>
          <w:marBottom w:val="0"/>
          <w:divBdr>
            <w:top w:val="none" w:sz="0" w:space="0" w:color="auto"/>
            <w:left w:val="none" w:sz="0" w:space="0" w:color="auto"/>
            <w:bottom w:val="none" w:sz="0" w:space="0" w:color="auto"/>
            <w:right w:val="none" w:sz="0" w:space="0" w:color="auto"/>
          </w:divBdr>
        </w:div>
        <w:div w:id="1728994295">
          <w:marLeft w:val="0"/>
          <w:marRight w:val="0"/>
          <w:marTop w:val="0"/>
          <w:marBottom w:val="0"/>
          <w:divBdr>
            <w:top w:val="none" w:sz="0" w:space="0" w:color="auto"/>
            <w:left w:val="none" w:sz="0" w:space="0" w:color="auto"/>
            <w:bottom w:val="none" w:sz="0" w:space="0" w:color="auto"/>
            <w:right w:val="none" w:sz="0" w:space="0" w:color="auto"/>
          </w:divBdr>
        </w:div>
        <w:div w:id="1760250621">
          <w:marLeft w:val="0"/>
          <w:marRight w:val="0"/>
          <w:marTop w:val="0"/>
          <w:marBottom w:val="0"/>
          <w:divBdr>
            <w:top w:val="none" w:sz="0" w:space="0" w:color="auto"/>
            <w:left w:val="none" w:sz="0" w:space="0" w:color="auto"/>
            <w:bottom w:val="none" w:sz="0" w:space="0" w:color="auto"/>
            <w:right w:val="none" w:sz="0" w:space="0" w:color="auto"/>
          </w:divBdr>
        </w:div>
        <w:div w:id="1908227573">
          <w:marLeft w:val="0"/>
          <w:marRight w:val="0"/>
          <w:marTop w:val="0"/>
          <w:marBottom w:val="0"/>
          <w:divBdr>
            <w:top w:val="none" w:sz="0" w:space="0" w:color="auto"/>
            <w:left w:val="none" w:sz="0" w:space="0" w:color="auto"/>
            <w:bottom w:val="none" w:sz="0" w:space="0" w:color="auto"/>
            <w:right w:val="none" w:sz="0" w:space="0" w:color="auto"/>
          </w:divBdr>
        </w:div>
        <w:div w:id="1943294392">
          <w:marLeft w:val="0"/>
          <w:marRight w:val="0"/>
          <w:marTop w:val="0"/>
          <w:marBottom w:val="0"/>
          <w:divBdr>
            <w:top w:val="none" w:sz="0" w:space="0" w:color="auto"/>
            <w:left w:val="none" w:sz="0" w:space="0" w:color="auto"/>
            <w:bottom w:val="none" w:sz="0" w:space="0" w:color="auto"/>
            <w:right w:val="none" w:sz="0" w:space="0" w:color="auto"/>
          </w:divBdr>
        </w:div>
        <w:div w:id="1970743345">
          <w:marLeft w:val="0"/>
          <w:marRight w:val="0"/>
          <w:marTop w:val="0"/>
          <w:marBottom w:val="0"/>
          <w:divBdr>
            <w:top w:val="none" w:sz="0" w:space="0" w:color="auto"/>
            <w:left w:val="none" w:sz="0" w:space="0" w:color="auto"/>
            <w:bottom w:val="none" w:sz="0" w:space="0" w:color="auto"/>
            <w:right w:val="none" w:sz="0" w:space="0" w:color="auto"/>
          </w:divBdr>
        </w:div>
        <w:div w:id="2017995500">
          <w:marLeft w:val="0"/>
          <w:marRight w:val="0"/>
          <w:marTop w:val="0"/>
          <w:marBottom w:val="0"/>
          <w:divBdr>
            <w:top w:val="none" w:sz="0" w:space="0" w:color="auto"/>
            <w:left w:val="none" w:sz="0" w:space="0" w:color="auto"/>
            <w:bottom w:val="none" w:sz="0" w:space="0" w:color="auto"/>
            <w:right w:val="none" w:sz="0" w:space="0" w:color="auto"/>
          </w:divBdr>
        </w:div>
        <w:div w:id="2087650582">
          <w:marLeft w:val="0"/>
          <w:marRight w:val="0"/>
          <w:marTop w:val="0"/>
          <w:marBottom w:val="0"/>
          <w:divBdr>
            <w:top w:val="none" w:sz="0" w:space="0" w:color="auto"/>
            <w:left w:val="none" w:sz="0" w:space="0" w:color="auto"/>
            <w:bottom w:val="none" w:sz="0" w:space="0" w:color="auto"/>
            <w:right w:val="none" w:sz="0" w:space="0" w:color="auto"/>
          </w:divBdr>
        </w:div>
      </w:divsChild>
    </w:div>
    <w:div w:id="2039112622">
      <w:bodyDiv w:val="1"/>
      <w:marLeft w:val="0"/>
      <w:marRight w:val="0"/>
      <w:marTop w:val="0"/>
      <w:marBottom w:val="0"/>
      <w:divBdr>
        <w:top w:val="none" w:sz="0" w:space="0" w:color="auto"/>
        <w:left w:val="none" w:sz="0" w:space="0" w:color="auto"/>
        <w:bottom w:val="none" w:sz="0" w:space="0" w:color="auto"/>
        <w:right w:val="none" w:sz="0" w:space="0" w:color="auto"/>
      </w:divBdr>
      <w:divsChild>
        <w:div w:id="202064320">
          <w:marLeft w:val="0"/>
          <w:marRight w:val="0"/>
          <w:marTop w:val="0"/>
          <w:marBottom w:val="0"/>
          <w:divBdr>
            <w:top w:val="none" w:sz="0" w:space="0" w:color="auto"/>
            <w:left w:val="none" w:sz="0" w:space="0" w:color="auto"/>
            <w:bottom w:val="none" w:sz="0" w:space="0" w:color="auto"/>
            <w:right w:val="none" w:sz="0" w:space="0" w:color="auto"/>
          </w:divBdr>
        </w:div>
      </w:divsChild>
    </w:div>
    <w:div w:id="2041932725">
      <w:bodyDiv w:val="1"/>
      <w:marLeft w:val="0"/>
      <w:marRight w:val="0"/>
      <w:marTop w:val="0"/>
      <w:marBottom w:val="0"/>
      <w:divBdr>
        <w:top w:val="none" w:sz="0" w:space="0" w:color="auto"/>
        <w:left w:val="none" w:sz="0" w:space="0" w:color="auto"/>
        <w:bottom w:val="none" w:sz="0" w:space="0" w:color="auto"/>
        <w:right w:val="none" w:sz="0" w:space="0" w:color="auto"/>
      </w:divBdr>
      <w:divsChild>
        <w:div w:id="1284389388">
          <w:marLeft w:val="0"/>
          <w:marRight w:val="0"/>
          <w:marTop w:val="0"/>
          <w:marBottom w:val="0"/>
          <w:divBdr>
            <w:top w:val="none" w:sz="0" w:space="0" w:color="auto"/>
            <w:left w:val="none" w:sz="0" w:space="0" w:color="auto"/>
            <w:bottom w:val="none" w:sz="0" w:space="0" w:color="auto"/>
            <w:right w:val="none" w:sz="0" w:space="0" w:color="auto"/>
          </w:divBdr>
        </w:div>
        <w:div w:id="1566331678">
          <w:marLeft w:val="0"/>
          <w:marRight w:val="0"/>
          <w:marTop w:val="0"/>
          <w:marBottom w:val="0"/>
          <w:divBdr>
            <w:top w:val="none" w:sz="0" w:space="0" w:color="auto"/>
            <w:left w:val="none" w:sz="0" w:space="0" w:color="auto"/>
            <w:bottom w:val="none" w:sz="0" w:space="0" w:color="auto"/>
            <w:right w:val="none" w:sz="0" w:space="0" w:color="auto"/>
          </w:divBdr>
        </w:div>
      </w:divsChild>
    </w:div>
    <w:div w:id="2050841630">
      <w:bodyDiv w:val="1"/>
      <w:marLeft w:val="0"/>
      <w:marRight w:val="0"/>
      <w:marTop w:val="0"/>
      <w:marBottom w:val="0"/>
      <w:divBdr>
        <w:top w:val="none" w:sz="0" w:space="0" w:color="auto"/>
        <w:left w:val="none" w:sz="0" w:space="0" w:color="auto"/>
        <w:bottom w:val="none" w:sz="0" w:space="0" w:color="auto"/>
        <w:right w:val="none" w:sz="0" w:space="0" w:color="auto"/>
      </w:divBdr>
      <w:divsChild>
        <w:div w:id="6831329">
          <w:marLeft w:val="0"/>
          <w:marRight w:val="0"/>
          <w:marTop w:val="0"/>
          <w:marBottom w:val="0"/>
          <w:divBdr>
            <w:top w:val="none" w:sz="0" w:space="0" w:color="auto"/>
            <w:left w:val="none" w:sz="0" w:space="0" w:color="auto"/>
            <w:bottom w:val="none" w:sz="0" w:space="0" w:color="auto"/>
            <w:right w:val="none" w:sz="0" w:space="0" w:color="auto"/>
          </w:divBdr>
        </w:div>
        <w:div w:id="21590288">
          <w:marLeft w:val="0"/>
          <w:marRight w:val="0"/>
          <w:marTop w:val="0"/>
          <w:marBottom w:val="0"/>
          <w:divBdr>
            <w:top w:val="none" w:sz="0" w:space="0" w:color="auto"/>
            <w:left w:val="none" w:sz="0" w:space="0" w:color="auto"/>
            <w:bottom w:val="none" w:sz="0" w:space="0" w:color="auto"/>
            <w:right w:val="none" w:sz="0" w:space="0" w:color="auto"/>
          </w:divBdr>
        </w:div>
        <w:div w:id="51540953">
          <w:marLeft w:val="0"/>
          <w:marRight w:val="0"/>
          <w:marTop w:val="0"/>
          <w:marBottom w:val="0"/>
          <w:divBdr>
            <w:top w:val="none" w:sz="0" w:space="0" w:color="auto"/>
            <w:left w:val="none" w:sz="0" w:space="0" w:color="auto"/>
            <w:bottom w:val="none" w:sz="0" w:space="0" w:color="auto"/>
            <w:right w:val="none" w:sz="0" w:space="0" w:color="auto"/>
          </w:divBdr>
        </w:div>
        <w:div w:id="68384919">
          <w:marLeft w:val="0"/>
          <w:marRight w:val="0"/>
          <w:marTop w:val="0"/>
          <w:marBottom w:val="0"/>
          <w:divBdr>
            <w:top w:val="none" w:sz="0" w:space="0" w:color="auto"/>
            <w:left w:val="none" w:sz="0" w:space="0" w:color="auto"/>
            <w:bottom w:val="none" w:sz="0" w:space="0" w:color="auto"/>
            <w:right w:val="none" w:sz="0" w:space="0" w:color="auto"/>
          </w:divBdr>
        </w:div>
        <w:div w:id="86775729">
          <w:marLeft w:val="0"/>
          <w:marRight w:val="0"/>
          <w:marTop w:val="0"/>
          <w:marBottom w:val="0"/>
          <w:divBdr>
            <w:top w:val="none" w:sz="0" w:space="0" w:color="auto"/>
            <w:left w:val="none" w:sz="0" w:space="0" w:color="auto"/>
            <w:bottom w:val="none" w:sz="0" w:space="0" w:color="auto"/>
            <w:right w:val="none" w:sz="0" w:space="0" w:color="auto"/>
          </w:divBdr>
        </w:div>
        <w:div w:id="162622115">
          <w:marLeft w:val="0"/>
          <w:marRight w:val="0"/>
          <w:marTop w:val="0"/>
          <w:marBottom w:val="0"/>
          <w:divBdr>
            <w:top w:val="none" w:sz="0" w:space="0" w:color="auto"/>
            <w:left w:val="none" w:sz="0" w:space="0" w:color="auto"/>
            <w:bottom w:val="none" w:sz="0" w:space="0" w:color="auto"/>
            <w:right w:val="none" w:sz="0" w:space="0" w:color="auto"/>
          </w:divBdr>
        </w:div>
        <w:div w:id="174461566">
          <w:marLeft w:val="0"/>
          <w:marRight w:val="0"/>
          <w:marTop w:val="0"/>
          <w:marBottom w:val="0"/>
          <w:divBdr>
            <w:top w:val="none" w:sz="0" w:space="0" w:color="auto"/>
            <w:left w:val="none" w:sz="0" w:space="0" w:color="auto"/>
            <w:bottom w:val="none" w:sz="0" w:space="0" w:color="auto"/>
            <w:right w:val="none" w:sz="0" w:space="0" w:color="auto"/>
          </w:divBdr>
        </w:div>
        <w:div w:id="175310093">
          <w:marLeft w:val="0"/>
          <w:marRight w:val="0"/>
          <w:marTop w:val="0"/>
          <w:marBottom w:val="0"/>
          <w:divBdr>
            <w:top w:val="none" w:sz="0" w:space="0" w:color="auto"/>
            <w:left w:val="none" w:sz="0" w:space="0" w:color="auto"/>
            <w:bottom w:val="none" w:sz="0" w:space="0" w:color="auto"/>
            <w:right w:val="none" w:sz="0" w:space="0" w:color="auto"/>
          </w:divBdr>
        </w:div>
        <w:div w:id="180818912">
          <w:marLeft w:val="0"/>
          <w:marRight w:val="0"/>
          <w:marTop w:val="0"/>
          <w:marBottom w:val="0"/>
          <w:divBdr>
            <w:top w:val="none" w:sz="0" w:space="0" w:color="auto"/>
            <w:left w:val="none" w:sz="0" w:space="0" w:color="auto"/>
            <w:bottom w:val="none" w:sz="0" w:space="0" w:color="auto"/>
            <w:right w:val="none" w:sz="0" w:space="0" w:color="auto"/>
          </w:divBdr>
        </w:div>
        <w:div w:id="205531228">
          <w:marLeft w:val="0"/>
          <w:marRight w:val="0"/>
          <w:marTop w:val="0"/>
          <w:marBottom w:val="0"/>
          <w:divBdr>
            <w:top w:val="none" w:sz="0" w:space="0" w:color="auto"/>
            <w:left w:val="none" w:sz="0" w:space="0" w:color="auto"/>
            <w:bottom w:val="none" w:sz="0" w:space="0" w:color="auto"/>
            <w:right w:val="none" w:sz="0" w:space="0" w:color="auto"/>
          </w:divBdr>
        </w:div>
        <w:div w:id="209459762">
          <w:marLeft w:val="0"/>
          <w:marRight w:val="0"/>
          <w:marTop w:val="0"/>
          <w:marBottom w:val="0"/>
          <w:divBdr>
            <w:top w:val="none" w:sz="0" w:space="0" w:color="auto"/>
            <w:left w:val="none" w:sz="0" w:space="0" w:color="auto"/>
            <w:bottom w:val="none" w:sz="0" w:space="0" w:color="auto"/>
            <w:right w:val="none" w:sz="0" w:space="0" w:color="auto"/>
          </w:divBdr>
        </w:div>
        <w:div w:id="237977987">
          <w:marLeft w:val="0"/>
          <w:marRight w:val="0"/>
          <w:marTop w:val="0"/>
          <w:marBottom w:val="0"/>
          <w:divBdr>
            <w:top w:val="none" w:sz="0" w:space="0" w:color="auto"/>
            <w:left w:val="none" w:sz="0" w:space="0" w:color="auto"/>
            <w:bottom w:val="none" w:sz="0" w:space="0" w:color="auto"/>
            <w:right w:val="none" w:sz="0" w:space="0" w:color="auto"/>
          </w:divBdr>
        </w:div>
        <w:div w:id="246155063">
          <w:marLeft w:val="0"/>
          <w:marRight w:val="0"/>
          <w:marTop w:val="0"/>
          <w:marBottom w:val="0"/>
          <w:divBdr>
            <w:top w:val="none" w:sz="0" w:space="0" w:color="auto"/>
            <w:left w:val="none" w:sz="0" w:space="0" w:color="auto"/>
            <w:bottom w:val="none" w:sz="0" w:space="0" w:color="auto"/>
            <w:right w:val="none" w:sz="0" w:space="0" w:color="auto"/>
          </w:divBdr>
        </w:div>
        <w:div w:id="254170688">
          <w:marLeft w:val="0"/>
          <w:marRight w:val="0"/>
          <w:marTop w:val="0"/>
          <w:marBottom w:val="0"/>
          <w:divBdr>
            <w:top w:val="none" w:sz="0" w:space="0" w:color="auto"/>
            <w:left w:val="none" w:sz="0" w:space="0" w:color="auto"/>
            <w:bottom w:val="none" w:sz="0" w:space="0" w:color="auto"/>
            <w:right w:val="none" w:sz="0" w:space="0" w:color="auto"/>
          </w:divBdr>
        </w:div>
        <w:div w:id="321592898">
          <w:marLeft w:val="0"/>
          <w:marRight w:val="0"/>
          <w:marTop w:val="0"/>
          <w:marBottom w:val="0"/>
          <w:divBdr>
            <w:top w:val="none" w:sz="0" w:space="0" w:color="auto"/>
            <w:left w:val="none" w:sz="0" w:space="0" w:color="auto"/>
            <w:bottom w:val="none" w:sz="0" w:space="0" w:color="auto"/>
            <w:right w:val="none" w:sz="0" w:space="0" w:color="auto"/>
          </w:divBdr>
        </w:div>
        <w:div w:id="359402139">
          <w:marLeft w:val="0"/>
          <w:marRight w:val="0"/>
          <w:marTop w:val="0"/>
          <w:marBottom w:val="0"/>
          <w:divBdr>
            <w:top w:val="none" w:sz="0" w:space="0" w:color="auto"/>
            <w:left w:val="none" w:sz="0" w:space="0" w:color="auto"/>
            <w:bottom w:val="none" w:sz="0" w:space="0" w:color="auto"/>
            <w:right w:val="none" w:sz="0" w:space="0" w:color="auto"/>
          </w:divBdr>
        </w:div>
        <w:div w:id="468910671">
          <w:marLeft w:val="0"/>
          <w:marRight w:val="0"/>
          <w:marTop w:val="0"/>
          <w:marBottom w:val="0"/>
          <w:divBdr>
            <w:top w:val="none" w:sz="0" w:space="0" w:color="auto"/>
            <w:left w:val="none" w:sz="0" w:space="0" w:color="auto"/>
            <w:bottom w:val="none" w:sz="0" w:space="0" w:color="auto"/>
            <w:right w:val="none" w:sz="0" w:space="0" w:color="auto"/>
          </w:divBdr>
        </w:div>
        <w:div w:id="469791058">
          <w:marLeft w:val="0"/>
          <w:marRight w:val="0"/>
          <w:marTop w:val="0"/>
          <w:marBottom w:val="0"/>
          <w:divBdr>
            <w:top w:val="none" w:sz="0" w:space="0" w:color="auto"/>
            <w:left w:val="none" w:sz="0" w:space="0" w:color="auto"/>
            <w:bottom w:val="none" w:sz="0" w:space="0" w:color="auto"/>
            <w:right w:val="none" w:sz="0" w:space="0" w:color="auto"/>
          </w:divBdr>
        </w:div>
        <w:div w:id="543446740">
          <w:marLeft w:val="0"/>
          <w:marRight w:val="0"/>
          <w:marTop w:val="0"/>
          <w:marBottom w:val="0"/>
          <w:divBdr>
            <w:top w:val="none" w:sz="0" w:space="0" w:color="auto"/>
            <w:left w:val="none" w:sz="0" w:space="0" w:color="auto"/>
            <w:bottom w:val="none" w:sz="0" w:space="0" w:color="auto"/>
            <w:right w:val="none" w:sz="0" w:space="0" w:color="auto"/>
          </w:divBdr>
        </w:div>
        <w:div w:id="544098362">
          <w:marLeft w:val="0"/>
          <w:marRight w:val="0"/>
          <w:marTop w:val="0"/>
          <w:marBottom w:val="0"/>
          <w:divBdr>
            <w:top w:val="none" w:sz="0" w:space="0" w:color="auto"/>
            <w:left w:val="none" w:sz="0" w:space="0" w:color="auto"/>
            <w:bottom w:val="none" w:sz="0" w:space="0" w:color="auto"/>
            <w:right w:val="none" w:sz="0" w:space="0" w:color="auto"/>
          </w:divBdr>
        </w:div>
        <w:div w:id="660620287">
          <w:marLeft w:val="0"/>
          <w:marRight w:val="0"/>
          <w:marTop w:val="0"/>
          <w:marBottom w:val="0"/>
          <w:divBdr>
            <w:top w:val="none" w:sz="0" w:space="0" w:color="auto"/>
            <w:left w:val="none" w:sz="0" w:space="0" w:color="auto"/>
            <w:bottom w:val="none" w:sz="0" w:space="0" w:color="auto"/>
            <w:right w:val="none" w:sz="0" w:space="0" w:color="auto"/>
          </w:divBdr>
        </w:div>
        <w:div w:id="840435355">
          <w:marLeft w:val="0"/>
          <w:marRight w:val="0"/>
          <w:marTop w:val="0"/>
          <w:marBottom w:val="0"/>
          <w:divBdr>
            <w:top w:val="none" w:sz="0" w:space="0" w:color="auto"/>
            <w:left w:val="none" w:sz="0" w:space="0" w:color="auto"/>
            <w:bottom w:val="none" w:sz="0" w:space="0" w:color="auto"/>
            <w:right w:val="none" w:sz="0" w:space="0" w:color="auto"/>
          </w:divBdr>
        </w:div>
        <w:div w:id="873734359">
          <w:marLeft w:val="0"/>
          <w:marRight w:val="0"/>
          <w:marTop w:val="0"/>
          <w:marBottom w:val="0"/>
          <w:divBdr>
            <w:top w:val="none" w:sz="0" w:space="0" w:color="auto"/>
            <w:left w:val="none" w:sz="0" w:space="0" w:color="auto"/>
            <w:bottom w:val="none" w:sz="0" w:space="0" w:color="auto"/>
            <w:right w:val="none" w:sz="0" w:space="0" w:color="auto"/>
          </w:divBdr>
        </w:div>
        <w:div w:id="887254370">
          <w:marLeft w:val="0"/>
          <w:marRight w:val="0"/>
          <w:marTop w:val="0"/>
          <w:marBottom w:val="0"/>
          <w:divBdr>
            <w:top w:val="none" w:sz="0" w:space="0" w:color="auto"/>
            <w:left w:val="none" w:sz="0" w:space="0" w:color="auto"/>
            <w:bottom w:val="none" w:sz="0" w:space="0" w:color="auto"/>
            <w:right w:val="none" w:sz="0" w:space="0" w:color="auto"/>
          </w:divBdr>
        </w:div>
        <w:div w:id="987052778">
          <w:marLeft w:val="0"/>
          <w:marRight w:val="0"/>
          <w:marTop w:val="0"/>
          <w:marBottom w:val="0"/>
          <w:divBdr>
            <w:top w:val="none" w:sz="0" w:space="0" w:color="auto"/>
            <w:left w:val="none" w:sz="0" w:space="0" w:color="auto"/>
            <w:bottom w:val="none" w:sz="0" w:space="0" w:color="auto"/>
            <w:right w:val="none" w:sz="0" w:space="0" w:color="auto"/>
          </w:divBdr>
        </w:div>
        <w:div w:id="1074232689">
          <w:marLeft w:val="0"/>
          <w:marRight w:val="0"/>
          <w:marTop w:val="0"/>
          <w:marBottom w:val="0"/>
          <w:divBdr>
            <w:top w:val="none" w:sz="0" w:space="0" w:color="auto"/>
            <w:left w:val="none" w:sz="0" w:space="0" w:color="auto"/>
            <w:bottom w:val="none" w:sz="0" w:space="0" w:color="auto"/>
            <w:right w:val="none" w:sz="0" w:space="0" w:color="auto"/>
          </w:divBdr>
        </w:div>
        <w:div w:id="1157264728">
          <w:marLeft w:val="0"/>
          <w:marRight w:val="0"/>
          <w:marTop w:val="0"/>
          <w:marBottom w:val="0"/>
          <w:divBdr>
            <w:top w:val="none" w:sz="0" w:space="0" w:color="auto"/>
            <w:left w:val="none" w:sz="0" w:space="0" w:color="auto"/>
            <w:bottom w:val="none" w:sz="0" w:space="0" w:color="auto"/>
            <w:right w:val="none" w:sz="0" w:space="0" w:color="auto"/>
          </w:divBdr>
        </w:div>
        <w:div w:id="1306471848">
          <w:marLeft w:val="0"/>
          <w:marRight w:val="0"/>
          <w:marTop w:val="0"/>
          <w:marBottom w:val="0"/>
          <w:divBdr>
            <w:top w:val="none" w:sz="0" w:space="0" w:color="auto"/>
            <w:left w:val="none" w:sz="0" w:space="0" w:color="auto"/>
            <w:bottom w:val="none" w:sz="0" w:space="0" w:color="auto"/>
            <w:right w:val="none" w:sz="0" w:space="0" w:color="auto"/>
          </w:divBdr>
        </w:div>
        <w:div w:id="1508903873">
          <w:marLeft w:val="0"/>
          <w:marRight w:val="0"/>
          <w:marTop w:val="0"/>
          <w:marBottom w:val="0"/>
          <w:divBdr>
            <w:top w:val="none" w:sz="0" w:space="0" w:color="auto"/>
            <w:left w:val="none" w:sz="0" w:space="0" w:color="auto"/>
            <w:bottom w:val="none" w:sz="0" w:space="0" w:color="auto"/>
            <w:right w:val="none" w:sz="0" w:space="0" w:color="auto"/>
          </w:divBdr>
        </w:div>
        <w:div w:id="1555965201">
          <w:marLeft w:val="0"/>
          <w:marRight w:val="0"/>
          <w:marTop w:val="0"/>
          <w:marBottom w:val="0"/>
          <w:divBdr>
            <w:top w:val="none" w:sz="0" w:space="0" w:color="auto"/>
            <w:left w:val="none" w:sz="0" w:space="0" w:color="auto"/>
            <w:bottom w:val="none" w:sz="0" w:space="0" w:color="auto"/>
            <w:right w:val="none" w:sz="0" w:space="0" w:color="auto"/>
          </w:divBdr>
        </w:div>
        <w:div w:id="1567060374">
          <w:marLeft w:val="0"/>
          <w:marRight w:val="0"/>
          <w:marTop w:val="0"/>
          <w:marBottom w:val="0"/>
          <w:divBdr>
            <w:top w:val="none" w:sz="0" w:space="0" w:color="auto"/>
            <w:left w:val="none" w:sz="0" w:space="0" w:color="auto"/>
            <w:bottom w:val="none" w:sz="0" w:space="0" w:color="auto"/>
            <w:right w:val="none" w:sz="0" w:space="0" w:color="auto"/>
          </w:divBdr>
        </w:div>
        <w:div w:id="1640262107">
          <w:marLeft w:val="0"/>
          <w:marRight w:val="0"/>
          <w:marTop w:val="0"/>
          <w:marBottom w:val="0"/>
          <w:divBdr>
            <w:top w:val="none" w:sz="0" w:space="0" w:color="auto"/>
            <w:left w:val="none" w:sz="0" w:space="0" w:color="auto"/>
            <w:bottom w:val="none" w:sz="0" w:space="0" w:color="auto"/>
            <w:right w:val="none" w:sz="0" w:space="0" w:color="auto"/>
          </w:divBdr>
        </w:div>
        <w:div w:id="1730424267">
          <w:marLeft w:val="0"/>
          <w:marRight w:val="0"/>
          <w:marTop w:val="0"/>
          <w:marBottom w:val="0"/>
          <w:divBdr>
            <w:top w:val="none" w:sz="0" w:space="0" w:color="auto"/>
            <w:left w:val="none" w:sz="0" w:space="0" w:color="auto"/>
            <w:bottom w:val="none" w:sz="0" w:space="0" w:color="auto"/>
            <w:right w:val="none" w:sz="0" w:space="0" w:color="auto"/>
          </w:divBdr>
        </w:div>
        <w:div w:id="1733844876">
          <w:marLeft w:val="0"/>
          <w:marRight w:val="0"/>
          <w:marTop w:val="0"/>
          <w:marBottom w:val="0"/>
          <w:divBdr>
            <w:top w:val="none" w:sz="0" w:space="0" w:color="auto"/>
            <w:left w:val="none" w:sz="0" w:space="0" w:color="auto"/>
            <w:bottom w:val="none" w:sz="0" w:space="0" w:color="auto"/>
            <w:right w:val="none" w:sz="0" w:space="0" w:color="auto"/>
          </w:divBdr>
        </w:div>
        <w:div w:id="1745181248">
          <w:marLeft w:val="0"/>
          <w:marRight w:val="0"/>
          <w:marTop w:val="0"/>
          <w:marBottom w:val="0"/>
          <w:divBdr>
            <w:top w:val="none" w:sz="0" w:space="0" w:color="auto"/>
            <w:left w:val="none" w:sz="0" w:space="0" w:color="auto"/>
            <w:bottom w:val="none" w:sz="0" w:space="0" w:color="auto"/>
            <w:right w:val="none" w:sz="0" w:space="0" w:color="auto"/>
          </w:divBdr>
        </w:div>
        <w:div w:id="1750151767">
          <w:marLeft w:val="0"/>
          <w:marRight w:val="0"/>
          <w:marTop w:val="0"/>
          <w:marBottom w:val="0"/>
          <w:divBdr>
            <w:top w:val="none" w:sz="0" w:space="0" w:color="auto"/>
            <w:left w:val="none" w:sz="0" w:space="0" w:color="auto"/>
            <w:bottom w:val="none" w:sz="0" w:space="0" w:color="auto"/>
            <w:right w:val="none" w:sz="0" w:space="0" w:color="auto"/>
          </w:divBdr>
        </w:div>
        <w:div w:id="1783064053">
          <w:marLeft w:val="0"/>
          <w:marRight w:val="0"/>
          <w:marTop w:val="0"/>
          <w:marBottom w:val="0"/>
          <w:divBdr>
            <w:top w:val="none" w:sz="0" w:space="0" w:color="auto"/>
            <w:left w:val="none" w:sz="0" w:space="0" w:color="auto"/>
            <w:bottom w:val="none" w:sz="0" w:space="0" w:color="auto"/>
            <w:right w:val="none" w:sz="0" w:space="0" w:color="auto"/>
          </w:divBdr>
        </w:div>
        <w:div w:id="1852140812">
          <w:marLeft w:val="0"/>
          <w:marRight w:val="0"/>
          <w:marTop w:val="0"/>
          <w:marBottom w:val="0"/>
          <w:divBdr>
            <w:top w:val="none" w:sz="0" w:space="0" w:color="auto"/>
            <w:left w:val="none" w:sz="0" w:space="0" w:color="auto"/>
            <w:bottom w:val="none" w:sz="0" w:space="0" w:color="auto"/>
            <w:right w:val="none" w:sz="0" w:space="0" w:color="auto"/>
          </w:divBdr>
        </w:div>
        <w:div w:id="1870290045">
          <w:marLeft w:val="0"/>
          <w:marRight w:val="0"/>
          <w:marTop w:val="0"/>
          <w:marBottom w:val="0"/>
          <w:divBdr>
            <w:top w:val="none" w:sz="0" w:space="0" w:color="auto"/>
            <w:left w:val="none" w:sz="0" w:space="0" w:color="auto"/>
            <w:bottom w:val="none" w:sz="0" w:space="0" w:color="auto"/>
            <w:right w:val="none" w:sz="0" w:space="0" w:color="auto"/>
          </w:divBdr>
        </w:div>
        <w:div w:id="1905527232">
          <w:marLeft w:val="0"/>
          <w:marRight w:val="0"/>
          <w:marTop w:val="0"/>
          <w:marBottom w:val="0"/>
          <w:divBdr>
            <w:top w:val="none" w:sz="0" w:space="0" w:color="auto"/>
            <w:left w:val="none" w:sz="0" w:space="0" w:color="auto"/>
            <w:bottom w:val="none" w:sz="0" w:space="0" w:color="auto"/>
            <w:right w:val="none" w:sz="0" w:space="0" w:color="auto"/>
          </w:divBdr>
        </w:div>
        <w:div w:id="2055303012">
          <w:marLeft w:val="0"/>
          <w:marRight w:val="0"/>
          <w:marTop w:val="0"/>
          <w:marBottom w:val="0"/>
          <w:divBdr>
            <w:top w:val="none" w:sz="0" w:space="0" w:color="auto"/>
            <w:left w:val="none" w:sz="0" w:space="0" w:color="auto"/>
            <w:bottom w:val="none" w:sz="0" w:space="0" w:color="auto"/>
            <w:right w:val="none" w:sz="0" w:space="0" w:color="auto"/>
          </w:divBdr>
        </w:div>
        <w:div w:id="2134713927">
          <w:marLeft w:val="0"/>
          <w:marRight w:val="0"/>
          <w:marTop w:val="0"/>
          <w:marBottom w:val="0"/>
          <w:divBdr>
            <w:top w:val="none" w:sz="0" w:space="0" w:color="auto"/>
            <w:left w:val="none" w:sz="0" w:space="0" w:color="auto"/>
            <w:bottom w:val="none" w:sz="0" w:space="0" w:color="auto"/>
            <w:right w:val="none" w:sz="0" w:space="0" w:color="auto"/>
          </w:divBdr>
        </w:div>
      </w:divsChild>
    </w:div>
    <w:div w:id="2051146729">
      <w:bodyDiv w:val="1"/>
      <w:marLeft w:val="0"/>
      <w:marRight w:val="0"/>
      <w:marTop w:val="0"/>
      <w:marBottom w:val="0"/>
      <w:divBdr>
        <w:top w:val="none" w:sz="0" w:space="0" w:color="auto"/>
        <w:left w:val="none" w:sz="0" w:space="0" w:color="auto"/>
        <w:bottom w:val="none" w:sz="0" w:space="0" w:color="auto"/>
        <w:right w:val="none" w:sz="0" w:space="0" w:color="auto"/>
      </w:divBdr>
      <w:divsChild>
        <w:div w:id="382950719">
          <w:marLeft w:val="0"/>
          <w:marRight w:val="0"/>
          <w:marTop w:val="0"/>
          <w:marBottom w:val="0"/>
          <w:divBdr>
            <w:top w:val="none" w:sz="0" w:space="0" w:color="auto"/>
            <w:left w:val="none" w:sz="0" w:space="0" w:color="auto"/>
            <w:bottom w:val="none" w:sz="0" w:space="0" w:color="auto"/>
            <w:right w:val="none" w:sz="0" w:space="0" w:color="auto"/>
          </w:divBdr>
        </w:div>
        <w:div w:id="532230397">
          <w:marLeft w:val="0"/>
          <w:marRight w:val="0"/>
          <w:marTop w:val="0"/>
          <w:marBottom w:val="0"/>
          <w:divBdr>
            <w:top w:val="none" w:sz="0" w:space="0" w:color="auto"/>
            <w:left w:val="none" w:sz="0" w:space="0" w:color="auto"/>
            <w:bottom w:val="none" w:sz="0" w:space="0" w:color="auto"/>
            <w:right w:val="none" w:sz="0" w:space="0" w:color="auto"/>
          </w:divBdr>
        </w:div>
        <w:div w:id="748623196">
          <w:marLeft w:val="0"/>
          <w:marRight w:val="0"/>
          <w:marTop w:val="0"/>
          <w:marBottom w:val="0"/>
          <w:divBdr>
            <w:top w:val="none" w:sz="0" w:space="0" w:color="auto"/>
            <w:left w:val="none" w:sz="0" w:space="0" w:color="auto"/>
            <w:bottom w:val="none" w:sz="0" w:space="0" w:color="auto"/>
            <w:right w:val="none" w:sz="0" w:space="0" w:color="auto"/>
          </w:divBdr>
        </w:div>
        <w:div w:id="1463886431">
          <w:marLeft w:val="0"/>
          <w:marRight w:val="0"/>
          <w:marTop w:val="0"/>
          <w:marBottom w:val="0"/>
          <w:divBdr>
            <w:top w:val="none" w:sz="0" w:space="0" w:color="auto"/>
            <w:left w:val="none" w:sz="0" w:space="0" w:color="auto"/>
            <w:bottom w:val="none" w:sz="0" w:space="0" w:color="auto"/>
            <w:right w:val="none" w:sz="0" w:space="0" w:color="auto"/>
          </w:divBdr>
        </w:div>
        <w:div w:id="1953394680">
          <w:marLeft w:val="0"/>
          <w:marRight w:val="0"/>
          <w:marTop w:val="0"/>
          <w:marBottom w:val="0"/>
          <w:divBdr>
            <w:top w:val="none" w:sz="0" w:space="0" w:color="auto"/>
            <w:left w:val="none" w:sz="0" w:space="0" w:color="auto"/>
            <w:bottom w:val="none" w:sz="0" w:space="0" w:color="auto"/>
            <w:right w:val="none" w:sz="0" w:space="0" w:color="auto"/>
          </w:divBdr>
        </w:div>
      </w:divsChild>
    </w:div>
    <w:div w:id="2078016556">
      <w:bodyDiv w:val="1"/>
      <w:marLeft w:val="0"/>
      <w:marRight w:val="0"/>
      <w:marTop w:val="0"/>
      <w:marBottom w:val="0"/>
      <w:divBdr>
        <w:top w:val="none" w:sz="0" w:space="0" w:color="auto"/>
        <w:left w:val="none" w:sz="0" w:space="0" w:color="auto"/>
        <w:bottom w:val="none" w:sz="0" w:space="0" w:color="auto"/>
        <w:right w:val="none" w:sz="0" w:space="0" w:color="auto"/>
      </w:divBdr>
      <w:divsChild>
        <w:div w:id="276719958">
          <w:marLeft w:val="0"/>
          <w:marRight w:val="0"/>
          <w:marTop w:val="0"/>
          <w:marBottom w:val="0"/>
          <w:divBdr>
            <w:top w:val="none" w:sz="0" w:space="0" w:color="auto"/>
            <w:left w:val="none" w:sz="0" w:space="0" w:color="auto"/>
            <w:bottom w:val="none" w:sz="0" w:space="0" w:color="auto"/>
            <w:right w:val="none" w:sz="0" w:space="0" w:color="auto"/>
          </w:divBdr>
        </w:div>
        <w:div w:id="493574443">
          <w:marLeft w:val="0"/>
          <w:marRight w:val="0"/>
          <w:marTop w:val="0"/>
          <w:marBottom w:val="0"/>
          <w:divBdr>
            <w:top w:val="none" w:sz="0" w:space="0" w:color="auto"/>
            <w:left w:val="none" w:sz="0" w:space="0" w:color="auto"/>
            <w:bottom w:val="none" w:sz="0" w:space="0" w:color="auto"/>
            <w:right w:val="none" w:sz="0" w:space="0" w:color="auto"/>
          </w:divBdr>
        </w:div>
        <w:div w:id="621964869">
          <w:marLeft w:val="0"/>
          <w:marRight w:val="0"/>
          <w:marTop w:val="0"/>
          <w:marBottom w:val="0"/>
          <w:divBdr>
            <w:top w:val="none" w:sz="0" w:space="0" w:color="auto"/>
            <w:left w:val="none" w:sz="0" w:space="0" w:color="auto"/>
            <w:bottom w:val="none" w:sz="0" w:space="0" w:color="auto"/>
            <w:right w:val="none" w:sz="0" w:space="0" w:color="auto"/>
          </w:divBdr>
        </w:div>
        <w:div w:id="1011566514">
          <w:marLeft w:val="0"/>
          <w:marRight w:val="0"/>
          <w:marTop w:val="0"/>
          <w:marBottom w:val="0"/>
          <w:divBdr>
            <w:top w:val="none" w:sz="0" w:space="0" w:color="auto"/>
            <w:left w:val="none" w:sz="0" w:space="0" w:color="auto"/>
            <w:bottom w:val="none" w:sz="0" w:space="0" w:color="auto"/>
            <w:right w:val="none" w:sz="0" w:space="0" w:color="auto"/>
          </w:divBdr>
        </w:div>
        <w:div w:id="1725717422">
          <w:marLeft w:val="0"/>
          <w:marRight w:val="0"/>
          <w:marTop w:val="0"/>
          <w:marBottom w:val="0"/>
          <w:divBdr>
            <w:top w:val="none" w:sz="0" w:space="0" w:color="auto"/>
            <w:left w:val="none" w:sz="0" w:space="0" w:color="auto"/>
            <w:bottom w:val="none" w:sz="0" w:space="0" w:color="auto"/>
            <w:right w:val="none" w:sz="0" w:space="0" w:color="auto"/>
          </w:divBdr>
        </w:div>
      </w:divsChild>
    </w:div>
    <w:div w:id="2085713419">
      <w:bodyDiv w:val="1"/>
      <w:marLeft w:val="0"/>
      <w:marRight w:val="0"/>
      <w:marTop w:val="0"/>
      <w:marBottom w:val="0"/>
      <w:divBdr>
        <w:top w:val="none" w:sz="0" w:space="0" w:color="auto"/>
        <w:left w:val="none" w:sz="0" w:space="0" w:color="auto"/>
        <w:bottom w:val="none" w:sz="0" w:space="0" w:color="auto"/>
        <w:right w:val="none" w:sz="0" w:space="0" w:color="auto"/>
      </w:divBdr>
    </w:div>
    <w:div w:id="2086145349">
      <w:bodyDiv w:val="1"/>
      <w:marLeft w:val="0"/>
      <w:marRight w:val="0"/>
      <w:marTop w:val="0"/>
      <w:marBottom w:val="0"/>
      <w:divBdr>
        <w:top w:val="none" w:sz="0" w:space="0" w:color="auto"/>
        <w:left w:val="none" w:sz="0" w:space="0" w:color="auto"/>
        <w:bottom w:val="none" w:sz="0" w:space="0" w:color="auto"/>
        <w:right w:val="none" w:sz="0" w:space="0" w:color="auto"/>
      </w:divBdr>
      <w:divsChild>
        <w:div w:id="1333292139">
          <w:marLeft w:val="0"/>
          <w:marRight w:val="0"/>
          <w:marTop w:val="0"/>
          <w:marBottom w:val="0"/>
          <w:divBdr>
            <w:top w:val="none" w:sz="0" w:space="0" w:color="auto"/>
            <w:left w:val="none" w:sz="0" w:space="0" w:color="auto"/>
            <w:bottom w:val="none" w:sz="0" w:space="0" w:color="auto"/>
            <w:right w:val="none" w:sz="0" w:space="0" w:color="auto"/>
          </w:divBdr>
        </w:div>
        <w:div w:id="1846282797">
          <w:marLeft w:val="0"/>
          <w:marRight w:val="0"/>
          <w:marTop w:val="0"/>
          <w:marBottom w:val="0"/>
          <w:divBdr>
            <w:top w:val="none" w:sz="0" w:space="0" w:color="auto"/>
            <w:left w:val="none" w:sz="0" w:space="0" w:color="auto"/>
            <w:bottom w:val="none" w:sz="0" w:space="0" w:color="auto"/>
            <w:right w:val="none" w:sz="0" w:space="0" w:color="auto"/>
          </w:divBdr>
        </w:div>
      </w:divsChild>
    </w:div>
    <w:div w:id="2089768862">
      <w:bodyDiv w:val="1"/>
      <w:marLeft w:val="0"/>
      <w:marRight w:val="0"/>
      <w:marTop w:val="0"/>
      <w:marBottom w:val="0"/>
      <w:divBdr>
        <w:top w:val="none" w:sz="0" w:space="0" w:color="auto"/>
        <w:left w:val="none" w:sz="0" w:space="0" w:color="auto"/>
        <w:bottom w:val="none" w:sz="0" w:space="0" w:color="auto"/>
        <w:right w:val="none" w:sz="0" w:space="0" w:color="auto"/>
      </w:divBdr>
      <w:divsChild>
        <w:div w:id="676275589">
          <w:marLeft w:val="0"/>
          <w:marRight w:val="0"/>
          <w:marTop w:val="0"/>
          <w:marBottom w:val="0"/>
          <w:divBdr>
            <w:top w:val="none" w:sz="0" w:space="0" w:color="auto"/>
            <w:left w:val="none" w:sz="0" w:space="0" w:color="auto"/>
            <w:bottom w:val="none" w:sz="0" w:space="0" w:color="auto"/>
            <w:right w:val="none" w:sz="0" w:space="0" w:color="auto"/>
          </w:divBdr>
          <w:divsChild>
            <w:div w:id="630477147">
              <w:marLeft w:val="0"/>
              <w:marRight w:val="0"/>
              <w:marTop w:val="0"/>
              <w:marBottom w:val="0"/>
              <w:divBdr>
                <w:top w:val="none" w:sz="0" w:space="0" w:color="auto"/>
                <w:left w:val="none" w:sz="0" w:space="0" w:color="auto"/>
                <w:bottom w:val="none" w:sz="0" w:space="0" w:color="auto"/>
                <w:right w:val="none" w:sz="0" w:space="0" w:color="auto"/>
              </w:divBdr>
              <w:divsChild>
                <w:div w:id="162072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01632">
      <w:bodyDiv w:val="1"/>
      <w:marLeft w:val="0"/>
      <w:marRight w:val="0"/>
      <w:marTop w:val="0"/>
      <w:marBottom w:val="0"/>
      <w:divBdr>
        <w:top w:val="none" w:sz="0" w:space="0" w:color="auto"/>
        <w:left w:val="none" w:sz="0" w:space="0" w:color="auto"/>
        <w:bottom w:val="none" w:sz="0" w:space="0" w:color="auto"/>
        <w:right w:val="none" w:sz="0" w:space="0" w:color="auto"/>
      </w:divBdr>
      <w:divsChild>
        <w:div w:id="314913762">
          <w:marLeft w:val="0"/>
          <w:marRight w:val="0"/>
          <w:marTop w:val="0"/>
          <w:marBottom w:val="0"/>
          <w:divBdr>
            <w:top w:val="none" w:sz="0" w:space="0" w:color="auto"/>
            <w:left w:val="none" w:sz="0" w:space="0" w:color="auto"/>
            <w:bottom w:val="none" w:sz="0" w:space="0" w:color="auto"/>
            <w:right w:val="none" w:sz="0" w:space="0" w:color="auto"/>
          </w:divBdr>
        </w:div>
        <w:div w:id="1050959551">
          <w:marLeft w:val="0"/>
          <w:marRight w:val="0"/>
          <w:marTop w:val="0"/>
          <w:marBottom w:val="0"/>
          <w:divBdr>
            <w:top w:val="none" w:sz="0" w:space="0" w:color="auto"/>
            <w:left w:val="none" w:sz="0" w:space="0" w:color="auto"/>
            <w:bottom w:val="none" w:sz="0" w:space="0" w:color="auto"/>
            <w:right w:val="none" w:sz="0" w:space="0" w:color="auto"/>
          </w:divBdr>
        </w:div>
        <w:div w:id="2125927714">
          <w:marLeft w:val="0"/>
          <w:marRight w:val="0"/>
          <w:marTop w:val="0"/>
          <w:marBottom w:val="0"/>
          <w:divBdr>
            <w:top w:val="none" w:sz="0" w:space="0" w:color="auto"/>
            <w:left w:val="none" w:sz="0" w:space="0" w:color="auto"/>
            <w:bottom w:val="none" w:sz="0" w:space="0" w:color="auto"/>
            <w:right w:val="none" w:sz="0" w:space="0" w:color="auto"/>
          </w:divBdr>
        </w:div>
      </w:divsChild>
    </w:div>
    <w:div w:id="2105295471">
      <w:bodyDiv w:val="1"/>
      <w:marLeft w:val="0"/>
      <w:marRight w:val="0"/>
      <w:marTop w:val="0"/>
      <w:marBottom w:val="0"/>
      <w:divBdr>
        <w:top w:val="none" w:sz="0" w:space="0" w:color="auto"/>
        <w:left w:val="none" w:sz="0" w:space="0" w:color="auto"/>
        <w:bottom w:val="none" w:sz="0" w:space="0" w:color="auto"/>
        <w:right w:val="none" w:sz="0" w:space="0" w:color="auto"/>
      </w:divBdr>
      <w:divsChild>
        <w:div w:id="930704545">
          <w:marLeft w:val="274"/>
          <w:marRight w:val="0"/>
          <w:marTop w:val="0"/>
          <w:marBottom w:val="0"/>
          <w:divBdr>
            <w:top w:val="none" w:sz="0" w:space="0" w:color="auto"/>
            <w:left w:val="none" w:sz="0" w:space="0" w:color="auto"/>
            <w:bottom w:val="none" w:sz="0" w:space="0" w:color="auto"/>
            <w:right w:val="none" w:sz="0" w:space="0" w:color="auto"/>
          </w:divBdr>
        </w:div>
        <w:div w:id="1112743495">
          <w:marLeft w:val="274"/>
          <w:marRight w:val="0"/>
          <w:marTop w:val="0"/>
          <w:marBottom w:val="0"/>
          <w:divBdr>
            <w:top w:val="none" w:sz="0" w:space="0" w:color="auto"/>
            <w:left w:val="none" w:sz="0" w:space="0" w:color="auto"/>
            <w:bottom w:val="none" w:sz="0" w:space="0" w:color="auto"/>
            <w:right w:val="none" w:sz="0" w:space="0" w:color="auto"/>
          </w:divBdr>
        </w:div>
        <w:div w:id="1470367908">
          <w:marLeft w:val="274"/>
          <w:marRight w:val="0"/>
          <w:marTop w:val="0"/>
          <w:marBottom w:val="0"/>
          <w:divBdr>
            <w:top w:val="none" w:sz="0" w:space="0" w:color="auto"/>
            <w:left w:val="none" w:sz="0" w:space="0" w:color="auto"/>
            <w:bottom w:val="none" w:sz="0" w:space="0" w:color="auto"/>
            <w:right w:val="none" w:sz="0" w:space="0" w:color="auto"/>
          </w:divBdr>
        </w:div>
        <w:div w:id="1543975292">
          <w:marLeft w:val="274"/>
          <w:marRight w:val="0"/>
          <w:marTop w:val="0"/>
          <w:marBottom w:val="0"/>
          <w:divBdr>
            <w:top w:val="none" w:sz="0" w:space="0" w:color="auto"/>
            <w:left w:val="none" w:sz="0" w:space="0" w:color="auto"/>
            <w:bottom w:val="none" w:sz="0" w:space="0" w:color="auto"/>
            <w:right w:val="none" w:sz="0" w:space="0" w:color="auto"/>
          </w:divBdr>
        </w:div>
        <w:div w:id="1695301762">
          <w:marLeft w:val="274"/>
          <w:marRight w:val="0"/>
          <w:marTop w:val="0"/>
          <w:marBottom w:val="0"/>
          <w:divBdr>
            <w:top w:val="none" w:sz="0" w:space="0" w:color="auto"/>
            <w:left w:val="none" w:sz="0" w:space="0" w:color="auto"/>
            <w:bottom w:val="none" w:sz="0" w:space="0" w:color="auto"/>
            <w:right w:val="none" w:sz="0" w:space="0" w:color="auto"/>
          </w:divBdr>
        </w:div>
      </w:divsChild>
    </w:div>
    <w:div w:id="2131972986">
      <w:bodyDiv w:val="1"/>
      <w:marLeft w:val="0"/>
      <w:marRight w:val="0"/>
      <w:marTop w:val="0"/>
      <w:marBottom w:val="0"/>
      <w:divBdr>
        <w:top w:val="none" w:sz="0" w:space="0" w:color="auto"/>
        <w:left w:val="none" w:sz="0" w:space="0" w:color="auto"/>
        <w:bottom w:val="none" w:sz="0" w:space="0" w:color="auto"/>
        <w:right w:val="none" w:sz="0" w:space="0" w:color="auto"/>
      </w:divBdr>
      <w:divsChild>
        <w:div w:id="1819689515">
          <w:marLeft w:val="0"/>
          <w:marRight w:val="0"/>
          <w:marTop w:val="0"/>
          <w:marBottom w:val="0"/>
          <w:divBdr>
            <w:top w:val="none" w:sz="0" w:space="0" w:color="auto"/>
            <w:left w:val="none" w:sz="0" w:space="0" w:color="auto"/>
            <w:bottom w:val="none" w:sz="0" w:space="0" w:color="auto"/>
            <w:right w:val="none" w:sz="0" w:space="0" w:color="auto"/>
          </w:divBdr>
          <w:divsChild>
            <w:div w:id="165022036">
              <w:marLeft w:val="0"/>
              <w:marRight w:val="0"/>
              <w:marTop w:val="0"/>
              <w:marBottom w:val="0"/>
              <w:divBdr>
                <w:top w:val="none" w:sz="0" w:space="0" w:color="auto"/>
                <w:left w:val="none" w:sz="0" w:space="0" w:color="auto"/>
                <w:bottom w:val="none" w:sz="0" w:space="0" w:color="auto"/>
                <w:right w:val="none" w:sz="0" w:space="0" w:color="auto"/>
              </w:divBdr>
              <w:divsChild>
                <w:div w:id="641467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kccap.info/index_option_com_phocadownload_view_category_id_34_Itemid_38.html" TargetMode="External"/><Relationship Id="rId21" Type="http://schemas.openxmlformats.org/officeDocument/2006/relationships/image" Target="media/image11.emf"/><Relationship Id="rId34" Type="http://schemas.openxmlformats.org/officeDocument/2006/relationships/image" Target="media/image22.emf"/><Relationship Id="rId42" Type="http://schemas.openxmlformats.org/officeDocument/2006/relationships/image" Target="media/image29.png"/><Relationship Id="rId47" Type="http://schemas.openxmlformats.org/officeDocument/2006/relationships/hyperlink" Target="https://www.eba.europa.eu" TargetMode="External"/><Relationship Id="rId50" Type="http://schemas.openxmlformats.org/officeDocument/2006/relationships/hyperlink" Target="https://home.barclays/sustainability" TargetMode="External"/><Relationship Id="rId55" Type="http://schemas.openxmlformats.org/officeDocument/2006/relationships/hyperlink" Target="https://www.td.com" TargetMode="External"/><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9" Type="http://schemas.openxmlformats.org/officeDocument/2006/relationships/image" Target="media/image18.png"/><Relationship Id="rId11" Type="http://schemas.openxmlformats.org/officeDocument/2006/relationships/image" Target="media/image1.jpeg"/><Relationship Id="rId24" Type="http://schemas.openxmlformats.org/officeDocument/2006/relationships/image" Target="media/image14.e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emf"/><Relationship Id="rId45" Type="http://schemas.openxmlformats.org/officeDocument/2006/relationships/hyperlink" Target="https://www.centralbank.go.ke" TargetMode="External"/><Relationship Id="rId53" Type="http://schemas.openxmlformats.org/officeDocument/2006/relationships/hyperlink" Target="https://www.citigroup.com" TargetMode="External"/><Relationship Id="rId58" Type="http://schemas.openxmlformats.org/officeDocument/2006/relationships/hyperlink" Target="https://www.carbonaccountingfinancials.co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image" Target="media/image9.emf"/><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6.png"/><Relationship Id="rId30" Type="http://schemas.openxmlformats.org/officeDocument/2006/relationships/hyperlink" Target="https://carbonaccountingfinancials.com/files/downloads/PCAF-Global-GHG-Standard.pdf" TargetMode="External"/><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hyperlink" Target="https://www.ecb.europa.eu" TargetMode="External"/><Relationship Id="rId56" Type="http://schemas.openxmlformats.org/officeDocument/2006/relationships/hyperlink" Target="https://www.natwestgroup.com" TargetMode="External"/><Relationship Id="rId64"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hyperlink" Target="https://www.bbva.com"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1.png"/><Relationship Id="rId38" Type="http://schemas.microsoft.com/office/2007/relationships/hdphoto" Target="media/hdphoto1.wdp"/><Relationship Id="rId46" Type="http://schemas.openxmlformats.org/officeDocument/2006/relationships/hyperlink" Target="https://www.bankofengland.co.uk/climate-change" TargetMode="External"/><Relationship Id="rId59" Type="http://schemas.openxmlformats.org/officeDocument/2006/relationships/header" Target="header1.xml"/><Relationship Id="rId20" Type="http://schemas.openxmlformats.org/officeDocument/2006/relationships/image" Target="media/image10.emf"/><Relationship Id="rId41" Type="http://schemas.openxmlformats.org/officeDocument/2006/relationships/image" Target="media/image28.png"/><Relationship Id="rId54" Type="http://schemas.openxmlformats.org/officeDocument/2006/relationships/hyperlink" Target="https://www.ing.co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7.png"/><Relationship Id="rId36" Type="http://schemas.openxmlformats.org/officeDocument/2006/relationships/image" Target="media/image24.emf"/><Relationship Id="rId49" Type="http://schemas.openxmlformats.org/officeDocument/2006/relationships/hyperlink" Target="https://www.gfanz.org" TargetMode="External"/><Relationship Id="rId57" Type="http://schemas.openxmlformats.org/officeDocument/2006/relationships/hyperlink" Target="https://www.ngfs.net" TargetMode="External"/><Relationship Id="rId10" Type="http://schemas.openxmlformats.org/officeDocument/2006/relationships/endnotes" Target="endnotes.xml"/><Relationship Id="rId31" Type="http://schemas.openxmlformats.org/officeDocument/2006/relationships/image" Target="media/image19.emf"/><Relationship Id="rId44" Type="http://schemas.openxmlformats.org/officeDocument/2006/relationships/image" Target="media/image31.emf"/><Relationship Id="rId52" Type="http://schemas.openxmlformats.org/officeDocument/2006/relationships/hyperlink" Target="https://group.bnpparibas" TargetMode="External"/><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image" Target="media/image8.emf"/><Relationship Id="rId39" Type="http://schemas.openxmlformats.org/officeDocument/2006/relationships/image" Target="media/image26.png"/></Relationships>
</file>

<file path=word/_rels/footnotes.xml.rels><?xml version="1.0" encoding="UTF-8" standalone="yes"?>
<Relationships xmlns="http://schemas.openxmlformats.org/package/2006/relationships"><Relationship Id="rId3" Type="http://schemas.openxmlformats.org/officeDocument/2006/relationships/hyperlink" Target="https://www.ifrs.org/issued-standards/ifrs-sustainability-standards-navigator/ifrs-s1-general-requirements/" TargetMode="External"/><Relationship Id="rId2" Type="http://schemas.openxmlformats.org/officeDocument/2006/relationships/hyperlink" Target="https://www.ifrs.org/groups/international-sustainability-standards-board" TargetMode="External"/><Relationship Id="rId1" Type="http://schemas.openxmlformats.org/officeDocument/2006/relationships/hyperlink" Target="https://www.afdb.org/sites/default/files/2023/09/08/the_african_leaders_nairobi_declaration_on_climate_change-rev-eng.pdf" TargetMode="External"/><Relationship Id="rId5" Type="http://schemas.openxmlformats.org/officeDocument/2006/relationships/hyperlink" Target="https://www.fsb-tcfd.org/" TargetMode="External"/><Relationship Id="rId4" Type="http://schemas.openxmlformats.org/officeDocument/2006/relationships/hyperlink" Target="https://www.ifrs.org/issued-standards/ifrs-sustainability-standards-navigator/ifrs-s2-climate-related-disclosur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0fb846bb-49da-442d-ac44-1711760f675e">
      <UserInfo>
        <DisplayName>Patrick Nganga</DisplayName>
        <AccountId>125</AccountId>
        <AccountType/>
      </UserInfo>
      <UserInfo>
        <DisplayName>Enrique Rebolledo</DisplayName>
        <AccountId>14</AccountId>
        <AccountType/>
      </UserInfo>
      <UserInfo>
        <DisplayName>Hussein Anooshah</DisplayName>
        <AccountId>95</AccountId>
        <AccountType/>
      </UserInfo>
      <UserInfo>
        <DisplayName>Stephane Neyreneuf</DisplayName>
        <AccountId>10</AccountId>
        <AccountType/>
      </UserInfo>
    </SharedWithUsers>
    <TaxCatchAll xmlns="0fb846bb-49da-442d-ac44-1711760f675e" xsi:nil="true"/>
    <lcf76f155ced4ddcb4097134ff3c332f xmlns="11876741-4e3d-41e4-924e-432c5fed92e0">
      <Terms xmlns="http://schemas.microsoft.com/office/infopath/2007/PartnerControls"/>
    </lcf76f155ced4ddcb4097134ff3c332f>
    <Hyperlink xmlns="11876741-4e3d-41e4-924e-432c5fed92e0">
      <Url xsi:nil="true"/>
      <Description xsi:nil="true"/>
    </Hyperlink>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7AE9AADD9055F48A76998BB8EEE9D03" ma:contentTypeVersion="16" ma:contentTypeDescription="Create a new document." ma:contentTypeScope="" ma:versionID="c9bb4e49b05191d9249650668621d32b">
  <xsd:schema xmlns:xsd="http://www.w3.org/2001/XMLSchema" xmlns:xs="http://www.w3.org/2001/XMLSchema" xmlns:p="http://schemas.microsoft.com/office/2006/metadata/properties" xmlns:ns2="11876741-4e3d-41e4-924e-432c5fed92e0" xmlns:ns3="0fb846bb-49da-442d-ac44-1711760f675e" targetNamespace="http://schemas.microsoft.com/office/2006/metadata/properties" ma:root="true" ma:fieldsID="aa28ce72901f1b9c05c04d26ffafc7d6" ns2:_="" ns3:_="">
    <xsd:import namespace="11876741-4e3d-41e4-924e-432c5fed92e0"/>
    <xsd:import namespace="0fb846bb-49da-442d-ac44-1711760f675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element ref="ns2:Hyperlin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876741-4e3d-41e4-924e-432c5fed92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3e14187-b4d4-4fc9-8c4a-20dc3ccbfd5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element name="Hyperlink" ma:index="2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fb846bb-49da-442d-ac44-1711760f675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5a556c2-e159-4ae1-86b9-5c188c9cb811}" ma:internalName="TaxCatchAll" ma:showField="CatchAllData" ma:web="0fb846bb-49da-442d-ac44-1711760f675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2FB56BD-5A3C-47B1-A315-ABFC7A471328}">
  <ds:schemaRefs>
    <ds:schemaRef ds:uri="http://schemas.microsoft.com/sharepoint/v3/contenttype/forms"/>
  </ds:schemaRefs>
</ds:datastoreItem>
</file>

<file path=customXml/itemProps2.xml><?xml version="1.0" encoding="utf-8"?>
<ds:datastoreItem xmlns:ds="http://schemas.openxmlformats.org/officeDocument/2006/customXml" ds:itemID="{DB55526A-8580-174B-9653-BEA1C3DEA1EE}">
  <ds:schemaRefs>
    <ds:schemaRef ds:uri="http://schemas.openxmlformats.org/officeDocument/2006/bibliography"/>
  </ds:schemaRefs>
</ds:datastoreItem>
</file>

<file path=customXml/itemProps3.xml><?xml version="1.0" encoding="utf-8"?>
<ds:datastoreItem xmlns:ds="http://schemas.openxmlformats.org/officeDocument/2006/customXml" ds:itemID="{7840EB90-1603-40A7-B649-4C83A167F4B9}">
  <ds:schemaRefs>
    <ds:schemaRef ds:uri="http://schemas.microsoft.com/office/2006/metadata/properties"/>
    <ds:schemaRef ds:uri="http://schemas.microsoft.com/office/infopath/2007/PartnerControls"/>
    <ds:schemaRef ds:uri="0fb846bb-49da-442d-ac44-1711760f675e"/>
    <ds:schemaRef ds:uri="11876741-4e3d-41e4-924e-432c5fed92e0"/>
  </ds:schemaRefs>
</ds:datastoreItem>
</file>

<file path=customXml/itemProps4.xml><?xml version="1.0" encoding="utf-8"?>
<ds:datastoreItem xmlns:ds="http://schemas.openxmlformats.org/officeDocument/2006/customXml" ds:itemID="{A583B0F1-5991-4C8B-82C9-61D5AFF189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876741-4e3d-41e4-924e-432c5fed92e0"/>
    <ds:schemaRef ds:uri="0fb846bb-49da-442d-ac44-1711760f67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69089e8-1f81-4a58-88b4-8dee525d5c3a}" enabled="0" method="" siteId="{069089e8-1f81-4a58-88b4-8dee525d5c3a}" removed="1"/>
  <clbl:label id="{228589f0-3068-4eaa-9081-95b82895b3a2}" enabled="1" method="Privileged" siteId="{7bc03988-1063-4a03-b76c-030695984be0}" removed="0"/>
</clbl:labelList>
</file>

<file path=docProps/app.xml><?xml version="1.0" encoding="utf-8"?>
<Properties xmlns="http://schemas.openxmlformats.org/officeDocument/2006/extended-properties" xmlns:vt="http://schemas.openxmlformats.org/officeDocument/2006/docPropsVTypes">
  <Template>Normal</Template>
  <TotalTime>4</TotalTime>
  <Pages>35</Pages>
  <Words>9001</Words>
  <Characters>51307</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60188</CharactersWithSpaces>
  <SharedDoc>false</SharedDoc>
  <HLinks>
    <vt:vector size="294" baseType="variant">
      <vt:variant>
        <vt:i4>6488115</vt:i4>
      </vt:variant>
      <vt:variant>
        <vt:i4>351</vt:i4>
      </vt:variant>
      <vt:variant>
        <vt:i4>0</vt:i4>
      </vt:variant>
      <vt:variant>
        <vt:i4>5</vt:i4>
      </vt:variant>
      <vt:variant>
        <vt:lpwstr>https://carbonaccountingfinancials.com/files/downloads/PCAF-Global-GHG-Standard.pdf</vt:lpwstr>
      </vt:variant>
      <vt:variant>
        <vt:lpwstr/>
      </vt:variant>
      <vt:variant>
        <vt:i4>7471130</vt:i4>
      </vt:variant>
      <vt:variant>
        <vt:i4>339</vt:i4>
      </vt:variant>
      <vt:variant>
        <vt:i4>0</vt:i4>
      </vt:variant>
      <vt:variant>
        <vt:i4>5</vt:i4>
      </vt:variant>
      <vt:variant>
        <vt:lpwstr>https://www.kccap.info/index_option_com_phocadownload_view_category_id_34_Itemid_38.html</vt:lpwstr>
      </vt:variant>
      <vt:variant>
        <vt:lpwstr/>
      </vt:variant>
      <vt:variant>
        <vt:i4>1507389</vt:i4>
      </vt:variant>
      <vt:variant>
        <vt:i4>284</vt:i4>
      </vt:variant>
      <vt:variant>
        <vt:i4>0</vt:i4>
      </vt:variant>
      <vt:variant>
        <vt:i4>5</vt:i4>
      </vt:variant>
      <vt:variant>
        <vt:lpwstr/>
      </vt:variant>
      <vt:variant>
        <vt:lpwstr>_Toc167193246</vt:lpwstr>
      </vt:variant>
      <vt:variant>
        <vt:i4>1507389</vt:i4>
      </vt:variant>
      <vt:variant>
        <vt:i4>278</vt:i4>
      </vt:variant>
      <vt:variant>
        <vt:i4>0</vt:i4>
      </vt:variant>
      <vt:variant>
        <vt:i4>5</vt:i4>
      </vt:variant>
      <vt:variant>
        <vt:lpwstr/>
      </vt:variant>
      <vt:variant>
        <vt:lpwstr>_Toc167193245</vt:lpwstr>
      </vt:variant>
      <vt:variant>
        <vt:i4>1507389</vt:i4>
      </vt:variant>
      <vt:variant>
        <vt:i4>272</vt:i4>
      </vt:variant>
      <vt:variant>
        <vt:i4>0</vt:i4>
      </vt:variant>
      <vt:variant>
        <vt:i4>5</vt:i4>
      </vt:variant>
      <vt:variant>
        <vt:lpwstr/>
      </vt:variant>
      <vt:variant>
        <vt:lpwstr>_Toc167193244</vt:lpwstr>
      </vt:variant>
      <vt:variant>
        <vt:i4>1507389</vt:i4>
      </vt:variant>
      <vt:variant>
        <vt:i4>266</vt:i4>
      </vt:variant>
      <vt:variant>
        <vt:i4>0</vt:i4>
      </vt:variant>
      <vt:variant>
        <vt:i4>5</vt:i4>
      </vt:variant>
      <vt:variant>
        <vt:lpwstr/>
      </vt:variant>
      <vt:variant>
        <vt:lpwstr>_Toc167193243</vt:lpwstr>
      </vt:variant>
      <vt:variant>
        <vt:i4>1507389</vt:i4>
      </vt:variant>
      <vt:variant>
        <vt:i4>260</vt:i4>
      </vt:variant>
      <vt:variant>
        <vt:i4>0</vt:i4>
      </vt:variant>
      <vt:variant>
        <vt:i4>5</vt:i4>
      </vt:variant>
      <vt:variant>
        <vt:lpwstr/>
      </vt:variant>
      <vt:variant>
        <vt:lpwstr>_Toc167193242</vt:lpwstr>
      </vt:variant>
      <vt:variant>
        <vt:i4>1507389</vt:i4>
      </vt:variant>
      <vt:variant>
        <vt:i4>254</vt:i4>
      </vt:variant>
      <vt:variant>
        <vt:i4>0</vt:i4>
      </vt:variant>
      <vt:variant>
        <vt:i4>5</vt:i4>
      </vt:variant>
      <vt:variant>
        <vt:lpwstr/>
      </vt:variant>
      <vt:variant>
        <vt:lpwstr>_Toc167193241</vt:lpwstr>
      </vt:variant>
      <vt:variant>
        <vt:i4>1507389</vt:i4>
      </vt:variant>
      <vt:variant>
        <vt:i4>248</vt:i4>
      </vt:variant>
      <vt:variant>
        <vt:i4>0</vt:i4>
      </vt:variant>
      <vt:variant>
        <vt:i4>5</vt:i4>
      </vt:variant>
      <vt:variant>
        <vt:lpwstr/>
      </vt:variant>
      <vt:variant>
        <vt:lpwstr>_Toc167193240</vt:lpwstr>
      </vt:variant>
      <vt:variant>
        <vt:i4>1048637</vt:i4>
      </vt:variant>
      <vt:variant>
        <vt:i4>242</vt:i4>
      </vt:variant>
      <vt:variant>
        <vt:i4>0</vt:i4>
      </vt:variant>
      <vt:variant>
        <vt:i4>5</vt:i4>
      </vt:variant>
      <vt:variant>
        <vt:lpwstr/>
      </vt:variant>
      <vt:variant>
        <vt:lpwstr>_Toc167193239</vt:lpwstr>
      </vt:variant>
      <vt:variant>
        <vt:i4>1048637</vt:i4>
      </vt:variant>
      <vt:variant>
        <vt:i4>236</vt:i4>
      </vt:variant>
      <vt:variant>
        <vt:i4>0</vt:i4>
      </vt:variant>
      <vt:variant>
        <vt:i4>5</vt:i4>
      </vt:variant>
      <vt:variant>
        <vt:lpwstr/>
      </vt:variant>
      <vt:variant>
        <vt:lpwstr>_Toc167193238</vt:lpwstr>
      </vt:variant>
      <vt:variant>
        <vt:i4>1048637</vt:i4>
      </vt:variant>
      <vt:variant>
        <vt:i4>230</vt:i4>
      </vt:variant>
      <vt:variant>
        <vt:i4>0</vt:i4>
      </vt:variant>
      <vt:variant>
        <vt:i4>5</vt:i4>
      </vt:variant>
      <vt:variant>
        <vt:lpwstr/>
      </vt:variant>
      <vt:variant>
        <vt:lpwstr>_Toc167193237</vt:lpwstr>
      </vt:variant>
      <vt:variant>
        <vt:i4>1048637</vt:i4>
      </vt:variant>
      <vt:variant>
        <vt:i4>224</vt:i4>
      </vt:variant>
      <vt:variant>
        <vt:i4>0</vt:i4>
      </vt:variant>
      <vt:variant>
        <vt:i4>5</vt:i4>
      </vt:variant>
      <vt:variant>
        <vt:lpwstr/>
      </vt:variant>
      <vt:variant>
        <vt:lpwstr>_Toc167193236</vt:lpwstr>
      </vt:variant>
      <vt:variant>
        <vt:i4>1048637</vt:i4>
      </vt:variant>
      <vt:variant>
        <vt:i4>218</vt:i4>
      </vt:variant>
      <vt:variant>
        <vt:i4>0</vt:i4>
      </vt:variant>
      <vt:variant>
        <vt:i4>5</vt:i4>
      </vt:variant>
      <vt:variant>
        <vt:lpwstr/>
      </vt:variant>
      <vt:variant>
        <vt:lpwstr>_Toc167193235</vt:lpwstr>
      </vt:variant>
      <vt:variant>
        <vt:i4>1048637</vt:i4>
      </vt:variant>
      <vt:variant>
        <vt:i4>212</vt:i4>
      </vt:variant>
      <vt:variant>
        <vt:i4>0</vt:i4>
      </vt:variant>
      <vt:variant>
        <vt:i4>5</vt:i4>
      </vt:variant>
      <vt:variant>
        <vt:lpwstr/>
      </vt:variant>
      <vt:variant>
        <vt:lpwstr>_Toc167193234</vt:lpwstr>
      </vt:variant>
      <vt:variant>
        <vt:i4>1048637</vt:i4>
      </vt:variant>
      <vt:variant>
        <vt:i4>206</vt:i4>
      </vt:variant>
      <vt:variant>
        <vt:i4>0</vt:i4>
      </vt:variant>
      <vt:variant>
        <vt:i4>5</vt:i4>
      </vt:variant>
      <vt:variant>
        <vt:lpwstr/>
      </vt:variant>
      <vt:variant>
        <vt:lpwstr>_Toc167193233</vt:lpwstr>
      </vt:variant>
      <vt:variant>
        <vt:i4>1048637</vt:i4>
      </vt:variant>
      <vt:variant>
        <vt:i4>200</vt:i4>
      </vt:variant>
      <vt:variant>
        <vt:i4>0</vt:i4>
      </vt:variant>
      <vt:variant>
        <vt:i4>5</vt:i4>
      </vt:variant>
      <vt:variant>
        <vt:lpwstr/>
      </vt:variant>
      <vt:variant>
        <vt:lpwstr>_Toc167193232</vt:lpwstr>
      </vt:variant>
      <vt:variant>
        <vt:i4>1048637</vt:i4>
      </vt:variant>
      <vt:variant>
        <vt:i4>191</vt:i4>
      </vt:variant>
      <vt:variant>
        <vt:i4>0</vt:i4>
      </vt:variant>
      <vt:variant>
        <vt:i4>5</vt:i4>
      </vt:variant>
      <vt:variant>
        <vt:lpwstr/>
      </vt:variant>
      <vt:variant>
        <vt:lpwstr>_Toc167193231</vt:lpwstr>
      </vt:variant>
      <vt:variant>
        <vt:i4>1048637</vt:i4>
      </vt:variant>
      <vt:variant>
        <vt:i4>185</vt:i4>
      </vt:variant>
      <vt:variant>
        <vt:i4>0</vt:i4>
      </vt:variant>
      <vt:variant>
        <vt:i4>5</vt:i4>
      </vt:variant>
      <vt:variant>
        <vt:lpwstr/>
      </vt:variant>
      <vt:variant>
        <vt:lpwstr>_Toc167193230</vt:lpwstr>
      </vt:variant>
      <vt:variant>
        <vt:i4>1114173</vt:i4>
      </vt:variant>
      <vt:variant>
        <vt:i4>179</vt:i4>
      </vt:variant>
      <vt:variant>
        <vt:i4>0</vt:i4>
      </vt:variant>
      <vt:variant>
        <vt:i4>5</vt:i4>
      </vt:variant>
      <vt:variant>
        <vt:lpwstr/>
      </vt:variant>
      <vt:variant>
        <vt:lpwstr>_Toc167193229</vt:lpwstr>
      </vt:variant>
      <vt:variant>
        <vt:i4>1114173</vt:i4>
      </vt:variant>
      <vt:variant>
        <vt:i4>173</vt:i4>
      </vt:variant>
      <vt:variant>
        <vt:i4>0</vt:i4>
      </vt:variant>
      <vt:variant>
        <vt:i4>5</vt:i4>
      </vt:variant>
      <vt:variant>
        <vt:lpwstr/>
      </vt:variant>
      <vt:variant>
        <vt:lpwstr>_Toc167193228</vt:lpwstr>
      </vt:variant>
      <vt:variant>
        <vt:i4>1114173</vt:i4>
      </vt:variant>
      <vt:variant>
        <vt:i4>167</vt:i4>
      </vt:variant>
      <vt:variant>
        <vt:i4>0</vt:i4>
      </vt:variant>
      <vt:variant>
        <vt:i4>5</vt:i4>
      </vt:variant>
      <vt:variant>
        <vt:lpwstr/>
      </vt:variant>
      <vt:variant>
        <vt:lpwstr>_Toc167193227</vt:lpwstr>
      </vt:variant>
      <vt:variant>
        <vt:i4>1114173</vt:i4>
      </vt:variant>
      <vt:variant>
        <vt:i4>161</vt:i4>
      </vt:variant>
      <vt:variant>
        <vt:i4>0</vt:i4>
      </vt:variant>
      <vt:variant>
        <vt:i4>5</vt:i4>
      </vt:variant>
      <vt:variant>
        <vt:lpwstr/>
      </vt:variant>
      <vt:variant>
        <vt:lpwstr>_Toc167193226</vt:lpwstr>
      </vt:variant>
      <vt:variant>
        <vt:i4>1114173</vt:i4>
      </vt:variant>
      <vt:variant>
        <vt:i4>155</vt:i4>
      </vt:variant>
      <vt:variant>
        <vt:i4>0</vt:i4>
      </vt:variant>
      <vt:variant>
        <vt:i4>5</vt:i4>
      </vt:variant>
      <vt:variant>
        <vt:lpwstr/>
      </vt:variant>
      <vt:variant>
        <vt:lpwstr>_Toc167193225</vt:lpwstr>
      </vt:variant>
      <vt:variant>
        <vt:i4>1114173</vt:i4>
      </vt:variant>
      <vt:variant>
        <vt:i4>149</vt:i4>
      </vt:variant>
      <vt:variant>
        <vt:i4>0</vt:i4>
      </vt:variant>
      <vt:variant>
        <vt:i4>5</vt:i4>
      </vt:variant>
      <vt:variant>
        <vt:lpwstr/>
      </vt:variant>
      <vt:variant>
        <vt:lpwstr>_Toc167193224</vt:lpwstr>
      </vt:variant>
      <vt:variant>
        <vt:i4>1114173</vt:i4>
      </vt:variant>
      <vt:variant>
        <vt:i4>143</vt:i4>
      </vt:variant>
      <vt:variant>
        <vt:i4>0</vt:i4>
      </vt:variant>
      <vt:variant>
        <vt:i4>5</vt:i4>
      </vt:variant>
      <vt:variant>
        <vt:lpwstr/>
      </vt:variant>
      <vt:variant>
        <vt:lpwstr>_Toc167193223</vt:lpwstr>
      </vt:variant>
      <vt:variant>
        <vt:i4>1114173</vt:i4>
      </vt:variant>
      <vt:variant>
        <vt:i4>137</vt:i4>
      </vt:variant>
      <vt:variant>
        <vt:i4>0</vt:i4>
      </vt:variant>
      <vt:variant>
        <vt:i4>5</vt:i4>
      </vt:variant>
      <vt:variant>
        <vt:lpwstr/>
      </vt:variant>
      <vt:variant>
        <vt:lpwstr>_Toc167193222</vt:lpwstr>
      </vt:variant>
      <vt:variant>
        <vt:i4>1114173</vt:i4>
      </vt:variant>
      <vt:variant>
        <vt:i4>131</vt:i4>
      </vt:variant>
      <vt:variant>
        <vt:i4>0</vt:i4>
      </vt:variant>
      <vt:variant>
        <vt:i4>5</vt:i4>
      </vt:variant>
      <vt:variant>
        <vt:lpwstr/>
      </vt:variant>
      <vt:variant>
        <vt:lpwstr>_Toc167193221</vt:lpwstr>
      </vt:variant>
      <vt:variant>
        <vt:i4>1114173</vt:i4>
      </vt:variant>
      <vt:variant>
        <vt:i4>125</vt:i4>
      </vt:variant>
      <vt:variant>
        <vt:i4>0</vt:i4>
      </vt:variant>
      <vt:variant>
        <vt:i4>5</vt:i4>
      </vt:variant>
      <vt:variant>
        <vt:lpwstr/>
      </vt:variant>
      <vt:variant>
        <vt:lpwstr>_Toc167193220</vt:lpwstr>
      </vt:variant>
      <vt:variant>
        <vt:i4>1179709</vt:i4>
      </vt:variant>
      <vt:variant>
        <vt:i4>119</vt:i4>
      </vt:variant>
      <vt:variant>
        <vt:i4>0</vt:i4>
      </vt:variant>
      <vt:variant>
        <vt:i4>5</vt:i4>
      </vt:variant>
      <vt:variant>
        <vt:lpwstr/>
      </vt:variant>
      <vt:variant>
        <vt:lpwstr>_Toc167193219</vt:lpwstr>
      </vt:variant>
      <vt:variant>
        <vt:i4>1179709</vt:i4>
      </vt:variant>
      <vt:variant>
        <vt:i4>113</vt:i4>
      </vt:variant>
      <vt:variant>
        <vt:i4>0</vt:i4>
      </vt:variant>
      <vt:variant>
        <vt:i4>5</vt:i4>
      </vt:variant>
      <vt:variant>
        <vt:lpwstr/>
      </vt:variant>
      <vt:variant>
        <vt:lpwstr>_Toc167193218</vt:lpwstr>
      </vt:variant>
      <vt:variant>
        <vt:i4>1179709</vt:i4>
      </vt:variant>
      <vt:variant>
        <vt:i4>107</vt:i4>
      </vt:variant>
      <vt:variant>
        <vt:i4>0</vt:i4>
      </vt:variant>
      <vt:variant>
        <vt:i4>5</vt:i4>
      </vt:variant>
      <vt:variant>
        <vt:lpwstr/>
      </vt:variant>
      <vt:variant>
        <vt:lpwstr>_Toc167193217</vt:lpwstr>
      </vt:variant>
      <vt:variant>
        <vt:i4>1179709</vt:i4>
      </vt:variant>
      <vt:variant>
        <vt:i4>101</vt:i4>
      </vt:variant>
      <vt:variant>
        <vt:i4>0</vt:i4>
      </vt:variant>
      <vt:variant>
        <vt:i4>5</vt:i4>
      </vt:variant>
      <vt:variant>
        <vt:lpwstr/>
      </vt:variant>
      <vt:variant>
        <vt:lpwstr>_Toc167193216</vt:lpwstr>
      </vt:variant>
      <vt:variant>
        <vt:i4>1179709</vt:i4>
      </vt:variant>
      <vt:variant>
        <vt:i4>95</vt:i4>
      </vt:variant>
      <vt:variant>
        <vt:i4>0</vt:i4>
      </vt:variant>
      <vt:variant>
        <vt:i4>5</vt:i4>
      </vt:variant>
      <vt:variant>
        <vt:lpwstr/>
      </vt:variant>
      <vt:variant>
        <vt:lpwstr>_Toc167193215</vt:lpwstr>
      </vt:variant>
      <vt:variant>
        <vt:i4>1179709</vt:i4>
      </vt:variant>
      <vt:variant>
        <vt:i4>89</vt:i4>
      </vt:variant>
      <vt:variant>
        <vt:i4>0</vt:i4>
      </vt:variant>
      <vt:variant>
        <vt:i4>5</vt:i4>
      </vt:variant>
      <vt:variant>
        <vt:lpwstr/>
      </vt:variant>
      <vt:variant>
        <vt:lpwstr>_Toc167193214</vt:lpwstr>
      </vt:variant>
      <vt:variant>
        <vt:i4>1179709</vt:i4>
      </vt:variant>
      <vt:variant>
        <vt:i4>80</vt:i4>
      </vt:variant>
      <vt:variant>
        <vt:i4>0</vt:i4>
      </vt:variant>
      <vt:variant>
        <vt:i4>5</vt:i4>
      </vt:variant>
      <vt:variant>
        <vt:lpwstr/>
      </vt:variant>
      <vt:variant>
        <vt:lpwstr>_Toc167193213</vt:lpwstr>
      </vt:variant>
      <vt:variant>
        <vt:i4>1179709</vt:i4>
      </vt:variant>
      <vt:variant>
        <vt:i4>74</vt:i4>
      </vt:variant>
      <vt:variant>
        <vt:i4>0</vt:i4>
      </vt:variant>
      <vt:variant>
        <vt:i4>5</vt:i4>
      </vt:variant>
      <vt:variant>
        <vt:lpwstr/>
      </vt:variant>
      <vt:variant>
        <vt:lpwstr>_Toc167193212</vt:lpwstr>
      </vt:variant>
      <vt:variant>
        <vt:i4>1179709</vt:i4>
      </vt:variant>
      <vt:variant>
        <vt:i4>68</vt:i4>
      </vt:variant>
      <vt:variant>
        <vt:i4>0</vt:i4>
      </vt:variant>
      <vt:variant>
        <vt:i4>5</vt:i4>
      </vt:variant>
      <vt:variant>
        <vt:lpwstr/>
      </vt:variant>
      <vt:variant>
        <vt:lpwstr>_Toc167193211</vt:lpwstr>
      </vt:variant>
      <vt:variant>
        <vt:i4>1179709</vt:i4>
      </vt:variant>
      <vt:variant>
        <vt:i4>62</vt:i4>
      </vt:variant>
      <vt:variant>
        <vt:i4>0</vt:i4>
      </vt:variant>
      <vt:variant>
        <vt:i4>5</vt:i4>
      </vt:variant>
      <vt:variant>
        <vt:lpwstr/>
      </vt:variant>
      <vt:variant>
        <vt:lpwstr>_Toc167193210</vt:lpwstr>
      </vt:variant>
      <vt:variant>
        <vt:i4>1245245</vt:i4>
      </vt:variant>
      <vt:variant>
        <vt:i4>56</vt:i4>
      </vt:variant>
      <vt:variant>
        <vt:i4>0</vt:i4>
      </vt:variant>
      <vt:variant>
        <vt:i4>5</vt:i4>
      </vt:variant>
      <vt:variant>
        <vt:lpwstr/>
      </vt:variant>
      <vt:variant>
        <vt:lpwstr>_Toc167193209</vt:lpwstr>
      </vt:variant>
      <vt:variant>
        <vt:i4>1245245</vt:i4>
      </vt:variant>
      <vt:variant>
        <vt:i4>50</vt:i4>
      </vt:variant>
      <vt:variant>
        <vt:i4>0</vt:i4>
      </vt:variant>
      <vt:variant>
        <vt:i4>5</vt:i4>
      </vt:variant>
      <vt:variant>
        <vt:lpwstr/>
      </vt:variant>
      <vt:variant>
        <vt:lpwstr>_Toc167193208</vt:lpwstr>
      </vt:variant>
      <vt:variant>
        <vt:i4>1245245</vt:i4>
      </vt:variant>
      <vt:variant>
        <vt:i4>44</vt:i4>
      </vt:variant>
      <vt:variant>
        <vt:i4>0</vt:i4>
      </vt:variant>
      <vt:variant>
        <vt:i4>5</vt:i4>
      </vt:variant>
      <vt:variant>
        <vt:lpwstr/>
      </vt:variant>
      <vt:variant>
        <vt:lpwstr>_Toc167193207</vt:lpwstr>
      </vt:variant>
      <vt:variant>
        <vt:i4>1245245</vt:i4>
      </vt:variant>
      <vt:variant>
        <vt:i4>38</vt:i4>
      </vt:variant>
      <vt:variant>
        <vt:i4>0</vt:i4>
      </vt:variant>
      <vt:variant>
        <vt:i4>5</vt:i4>
      </vt:variant>
      <vt:variant>
        <vt:lpwstr/>
      </vt:variant>
      <vt:variant>
        <vt:lpwstr>_Toc167193206</vt:lpwstr>
      </vt:variant>
      <vt:variant>
        <vt:i4>1245245</vt:i4>
      </vt:variant>
      <vt:variant>
        <vt:i4>32</vt:i4>
      </vt:variant>
      <vt:variant>
        <vt:i4>0</vt:i4>
      </vt:variant>
      <vt:variant>
        <vt:i4>5</vt:i4>
      </vt:variant>
      <vt:variant>
        <vt:lpwstr/>
      </vt:variant>
      <vt:variant>
        <vt:lpwstr>_Toc167193205</vt:lpwstr>
      </vt:variant>
      <vt:variant>
        <vt:i4>1245245</vt:i4>
      </vt:variant>
      <vt:variant>
        <vt:i4>26</vt:i4>
      </vt:variant>
      <vt:variant>
        <vt:i4>0</vt:i4>
      </vt:variant>
      <vt:variant>
        <vt:i4>5</vt:i4>
      </vt:variant>
      <vt:variant>
        <vt:lpwstr/>
      </vt:variant>
      <vt:variant>
        <vt:lpwstr>_Toc167193204</vt:lpwstr>
      </vt:variant>
      <vt:variant>
        <vt:i4>1245245</vt:i4>
      </vt:variant>
      <vt:variant>
        <vt:i4>20</vt:i4>
      </vt:variant>
      <vt:variant>
        <vt:i4>0</vt:i4>
      </vt:variant>
      <vt:variant>
        <vt:i4>5</vt:i4>
      </vt:variant>
      <vt:variant>
        <vt:lpwstr/>
      </vt:variant>
      <vt:variant>
        <vt:lpwstr>_Toc167193203</vt:lpwstr>
      </vt:variant>
      <vt:variant>
        <vt:i4>1245245</vt:i4>
      </vt:variant>
      <vt:variant>
        <vt:i4>14</vt:i4>
      </vt:variant>
      <vt:variant>
        <vt:i4>0</vt:i4>
      </vt:variant>
      <vt:variant>
        <vt:i4>5</vt:i4>
      </vt:variant>
      <vt:variant>
        <vt:lpwstr/>
      </vt:variant>
      <vt:variant>
        <vt:lpwstr>_Toc167193202</vt:lpwstr>
      </vt:variant>
      <vt:variant>
        <vt:i4>1245245</vt:i4>
      </vt:variant>
      <vt:variant>
        <vt:i4>8</vt:i4>
      </vt:variant>
      <vt:variant>
        <vt:i4>0</vt:i4>
      </vt:variant>
      <vt:variant>
        <vt:i4>5</vt:i4>
      </vt:variant>
      <vt:variant>
        <vt:lpwstr/>
      </vt:variant>
      <vt:variant>
        <vt:lpwstr>_Toc167193201</vt:lpwstr>
      </vt:variant>
      <vt:variant>
        <vt:i4>1245245</vt:i4>
      </vt:variant>
      <vt:variant>
        <vt:i4>2</vt:i4>
      </vt:variant>
      <vt:variant>
        <vt:i4>0</vt:i4>
      </vt:variant>
      <vt:variant>
        <vt:i4>5</vt:i4>
      </vt:variant>
      <vt:variant>
        <vt:lpwstr/>
      </vt:variant>
      <vt:variant>
        <vt:lpwstr>_Toc167193200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 N. Omesa</dc:creator>
  <cp:keywords/>
  <dc:description/>
  <cp:lastModifiedBy>John Kipkirui</cp:lastModifiedBy>
  <cp:revision>4</cp:revision>
  <cp:lastPrinted>2024-08-22T14:29:00Z</cp:lastPrinted>
  <dcterms:created xsi:type="dcterms:W3CDTF">2024-08-22T14:27:00Z</dcterms:created>
  <dcterms:modified xsi:type="dcterms:W3CDTF">2024-08-23T07:42:00Z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492518d095adad02eddff7db9a4ed5bb599bdcf9de02b831a19637fbed524d95</vt:lpwstr>
  </property>
  <property fmtid="{D5CDD505-2E9C-101B-9397-08002B2CF9AE}" pid="3" name="ContentTypeId">
    <vt:lpwstr>0x01010007AE9AADD9055F48A76998BB8EEE9D03</vt:lpwstr>
  </property>
  <property fmtid="{D5CDD505-2E9C-101B-9397-08002B2CF9AE}" pid="4" name="MediaServiceImageTags">
    <vt:lpwstr/>
  </property>
  <property fmtid="{D5CDD505-2E9C-101B-9397-08002B2CF9AE}" pid="5" name="ClassificationContentMarkingFooterShapeIds">
    <vt:lpwstr>1,3,5</vt:lpwstr>
  </property>
  <property fmtid="{D5CDD505-2E9C-101B-9397-08002B2CF9AE}" pid="6" name="ClassificationContentMarkingFooterFontProps">
    <vt:lpwstr>#0000ff,9,Calibri</vt:lpwstr>
  </property>
  <property fmtid="{D5CDD505-2E9C-101B-9397-08002B2CF9AE}" pid="7" name="ClassificationContentMarkingFooterText">
    <vt:lpwstr>C2: CBK - Official</vt:lpwstr>
  </property>
</Properties>
</file>